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821D" w14:textId="2A625E8C" w:rsidR="002407B7" w:rsidRDefault="00A268D0" w:rsidP="00A268D0">
      <w:pPr>
        <w:spacing w:line="360" w:lineRule="auto"/>
        <w:jc w:val="center"/>
        <w:rPr>
          <w:b/>
          <w:bCs/>
        </w:rPr>
      </w:pPr>
      <w:r w:rsidRPr="00A268D0">
        <w:rPr>
          <w:b/>
          <w:bCs/>
        </w:rPr>
        <w:t xml:space="preserve">LEGGE DI BILANCIO 2022 </w:t>
      </w:r>
      <w:r>
        <w:rPr>
          <w:b/>
          <w:bCs/>
        </w:rPr>
        <w:t>–</w:t>
      </w:r>
      <w:r w:rsidRPr="00A268D0">
        <w:rPr>
          <w:b/>
          <w:bCs/>
        </w:rPr>
        <w:t xml:space="preserve"> SINTESI</w:t>
      </w:r>
    </w:p>
    <w:p w14:paraId="51BCA45A" w14:textId="1AD1EA11" w:rsidR="00A268D0" w:rsidRDefault="00A268D0" w:rsidP="00A268D0">
      <w:pPr>
        <w:spacing w:line="360" w:lineRule="auto"/>
        <w:jc w:val="center"/>
        <w:rPr>
          <w:b/>
          <w:bCs/>
        </w:rPr>
      </w:pPr>
    </w:p>
    <w:p w14:paraId="020D536A" w14:textId="5445B6B0" w:rsidR="00A268D0" w:rsidRDefault="00A268D0" w:rsidP="00A268D0">
      <w:pPr>
        <w:spacing w:line="360" w:lineRule="auto"/>
        <w:jc w:val="center"/>
        <w:rPr>
          <w:b/>
          <w:bCs/>
        </w:rPr>
      </w:pPr>
    </w:p>
    <w:p w14:paraId="117E6C16" w14:textId="4C627F62" w:rsidR="00A268D0" w:rsidRDefault="00EC7B47" w:rsidP="00A268D0">
      <w:pPr>
        <w:spacing w:line="360" w:lineRule="auto"/>
        <w:jc w:val="both"/>
        <w:rPr>
          <w:b/>
          <w:bCs/>
        </w:rPr>
      </w:pPr>
      <w:r>
        <w:rPr>
          <w:b/>
          <w:bCs/>
        </w:rPr>
        <w:t>Modifiche alle aliquote Irpef</w:t>
      </w:r>
    </w:p>
    <w:p w14:paraId="20EB716E" w14:textId="0AEEFE0B" w:rsidR="00A268D0" w:rsidRDefault="00A268D0" w:rsidP="00A268D0">
      <w:pPr>
        <w:spacing w:line="360" w:lineRule="auto"/>
        <w:jc w:val="both"/>
      </w:pPr>
      <w:r w:rsidRPr="00A268D0">
        <w:t>Vengono</w:t>
      </w:r>
      <w:r>
        <w:t xml:space="preserve"> </w:t>
      </w:r>
      <w:r w:rsidRPr="00A268D0">
        <w:rPr>
          <w:b/>
          <w:bCs/>
        </w:rPr>
        <w:t>riorganizzate le aliquote Irpef</w:t>
      </w:r>
      <w:r>
        <w:t xml:space="preserve"> </w:t>
      </w:r>
      <w:r w:rsidRPr="00A268D0">
        <w:t>(che da 5 diventano 4) prevedendo la</w:t>
      </w:r>
      <w:r>
        <w:t xml:space="preserve"> </w:t>
      </w:r>
      <w:r w:rsidRPr="00A268D0">
        <w:rPr>
          <w:b/>
          <w:bCs/>
        </w:rPr>
        <w:t>riduzione della seconda aliquota</w:t>
      </w:r>
      <w:r>
        <w:t xml:space="preserve"> </w:t>
      </w:r>
      <w:r w:rsidRPr="00A268D0">
        <w:t>(che dal 27 passa al 25%) e della</w:t>
      </w:r>
      <w:r>
        <w:t xml:space="preserve"> </w:t>
      </w:r>
      <w:r w:rsidRPr="00A268D0">
        <w:rPr>
          <w:b/>
          <w:bCs/>
        </w:rPr>
        <w:t>terza</w:t>
      </w:r>
      <w:r>
        <w:t xml:space="preserve"> </w:t>
      </w:r>
      <w:r w:rsidRPr="00A268D0">
        <w:t>(che dal 38 passa al 35%).</w:t>
      </w:r>
      <w:r w:rsidRPr="00A268D0">
        <w:br/>
        <w:t>In forza delle nuove previsioni la tassazione al 43% (</w:t>
      </w:r>
      <w:r w:rsidRPr="00A268D0">
        <w:rPr>
          <w:b/>
          <w:bCs/>
        </w:rPr>
        <w:t>aliquota massima</w:t>
      </w:r>
      <w:r w:rsidRPr="00A268D0">
        <w:t>) scatta inoltre per i</w:t>
      </w:r>
      <w:r>
        <w:t xml:space="preserve"> </w:t>
      </w:r>
      <w:r w:rsidRPr="00A268D0">
        <w:rPr>
          <w:b/>
          <w:bCs/>
        </w:rPr>
        <w:t>redditi superiori a 50.000 euro</w:t>
      </w:r>
      <w:r>
        <w:t xml:space="preserve"> </w:t>
      </w:r>
      <w:r w:rsidRPr="00A268D0">
        <w:t>(con abbassamento, quindi, della precedente soglia di 75.000 euro).</w:t>
      </w:r>
      <w:r w:rsidRPr="00A268D0">
        <w:br/>
      </w:r>
    </w:p>
    <w:p w14:paraId="0D94ADC9" w14:textId="28334E66" w:rsidR="00172BAE" w:rsidRPr="00172BAE" w:rsidRDefault="00EC7B47" w:rsidP="00A268D0">
      <w:pPr>
        <w:spacing w:line="360" w:lineRule="auto"/>
        <w:jc w:val="both"/>
        <w:rPr>
          <w:b/>
          <w:bCs/>
        </w:rPr>
      </w:pPr>
      <w:r w:rsidRPr="00172BAE">
        <w:rPr>
          <w:b/>
          <w:bCs/>
        </w:rPr>
        <w:t>Modifiche al “bonus 100 euro”</w:t>
      </w:r>
    </w:p>
    <w:p w14:paraId="3B36C0E1" w14:textId="2943070F" w:rsidR="00172BAE" w:rsidRDefault="00172BAE" w:rsidP="00A268D0">
      <w:pPr>
        <w:spacing w:line="360" w:lineRule="auto"/>
        <w:jc w:val="both"/>
      </w:pPr>
      <w:r w:rsidRPr="00172BAE">
        <w:t>Viene</w:t>
      </w:r>
      <w:r>
        <w:t xml:space="preserve"> </w:t>
      </w:r>
      <w:r w:rsidRPr="00172BAE">
        <w:rPr>
          <w:b/>
          <w:bCs/>
        </w:rPr>
        <w:t>riformulata la disciplina del “bonus 100 euro”</w:t>
      </w:r>
      <w:r w:rsidRPr="00172BAE">
        <w:t>, riducendo la soglia di reddito sopra la quale l’agevolazione non spetta (da 28.000 euro prima previsti, a</w:t>
      </w:r>
      <w:r>
        <w:t xml:space="preserve"> </w:t>
      </w:r>
      <w:r w:rsidRPr="00172BAE">
        <w:rPr>
          <w:b/>
          <w:bCs/>
        </w:rPr>
        <w:t>15.000 euro</w:t>
      </w:r>
      <w:r w:rsidRPr="00172BAE">
        <w:t>). Per i</w:t>
      </w:r>
      <w:r>
        <w:t xml:space="preserve"> </w:t>
      </w:r>
      <w:r w:rsidRPr="00172BAE">
        <w:rPr>
          <w:b/>
          <w:bCs/>
        </w:rPr>
        <w:t xml:space="preserve">redditi superiori a </w:t>
      </w:r>
      <w:r>
        <w:rPr>
          <w:b/>
          <w:bCs/>
        </w:rPr>
        <w:t>15</w:t>
      </w:r>
      <w:r w:rsidRPr="00172BAE">
        <w:rPr>
          <w:b/>
          <w:bCs/>
        </w:rPr>
        <w:t>.000 euro</w:t>
      </w:r>
      <w:r>
        <w:t xml:space="preserve"> </w:t>
      </w:r>
      <w:r w:rsidRPr="00172BAE">
        <w:t>è possibile beneficiare del bonus solo se</w:t>
      </w:r>
      <w:r>
        <w:t xml:space="preserve"> </w:t>
      </w:r>
      <w:r w:rsidRPr="00172BAE">
        <w:rPr>
          <w:b/>
          <w:bCs/>
        </w:rPr>
        <w:t>la somma di un insieme di detrazioni</w:t>
      </w:r>
      <w:r>
        <w:t xml:space="preserve"> </w:t>
      </w:r>
      <w:r w:rsidRPr="00172BAE">
        <w:t>individuate dalla stessa norma è di</w:t>
      </w:r>
      <w:r>
        <w:t xml:space="preserve"> </w:t>
      </w:r>
      <w:r w:rsidRPr="00172BAE">
        <w:rPr>
          <w:b/>
          <w:bCs/>
        </w:rPr>
        <w:t>ammontare superiore all’imposta lorda</w:t>
      </w:r>
      <w:r w:rsidRPr="00172BAE">
        <w:t>, e in misura pari alla differenza tra la somma delle detrazioni e l’imposta lorda, per un importo comunque non superiore a 1.200 euro.</w:t>
      </w:r>
    </w:p>
    <w:p w14:paraId="0B729468" w14:textId="45B417F9" w:rsidR="00172BAE" w:rsidRDefault="00172BAE" w:rsidP="00A268D0">
      <w:pPr>
        <w:spacing w:line="360" w:lineRule="auto"/>
        <w:jc w:val="both"/>
      </w:pPr>
    </w:p>
    <w:p w14:paraId="29087C28" w14:textId="3F494B55" w:rsidR="00172BAE" w:rsidRDefault="00EC7B47" w:rsidP="00A268D0">
      <w:pPr>
        <w:spacing w:line="360" w:lineRule="auto"/>
        <w:jc w:val="both"/>
        <w:rPr>
          <w:b/>
          <w:bCs/>
        </w:rPr>
      </w:pPr>
      <w:r w:rsidRPr="00172BAE">
        <w:rPr>
          <w:b/>
          <w:bCs/>
        </w:rPr>
        <w:t>Esclusione da Irap per le persone fisiche</w:t>
      </w:r>
    </w:p>
    <w:p w14:paraId="693F482C" w14:textId="1ECC3613" w:rsidR="00172BAE" w:rsidRDefault="00172BAE" w:rsidP="00A268D0">
      <w:pPr>
        <w:spacing w:line="360" w:lineRule="auto"/>
        <w:jc w:val="both"/>
      </w:pPr>
      <w:r w:rsidRPr="00172BAE">
        <w:t>Sono</w:t>
      </w:r>
      <w:r>
        <w:t xml:space="preserve"> </w:t>
      </w:r>
      <w:r w:rsidRPr="00172BAE">
        <w:rPr>
          <w:b/>
          <w:bCs/>
        </w:rPr>
        <w:t>esentati da Irap</w:t>
      </w:r>
      <w:r w:rsidRPr="00172BAE">
        <w:t>, dal</w:t>
      </w:r>
      <w:r>
        <w:t xml:space="preserve"> </w:t>
      </w:r>
      <w:r w:rsidRPr="00172BAE">
        <w:rPr>
          <w:b/>
          <w:bCs/>
        </w:rPr>
        <w:t>periodo d’imposta 2022</w:t>
      </w:r>
      <w:r w:rsidRPr="00172BAE">
        <w:t>, i contribuenti</w:t>
      </w:r>
      <w:r>
        <w:t xml:space="preserve"> </w:t>
      </w:r>
      <w:r w:rsidRPr="00172BAE">
        <w:rPr>
          <w:b/>
          <w:bCs/>
        </w:rPr>
        <w:t>persone fisiche che esercitano attività commerciali, nonché arti e professioni</w:t>
      </w:r>
      <w:r w:rsidRPr="00172BAE">
        <w:t>.</w:t>
      </w:r>
    </w:p>
    <w:p w14:paraId="1B434129" w14:textId="7E277597" w:rsidR="00D36DF2" w:rsidRDefault="00D36DF2" w:rsidP="00A268D0">
      <w:pPr>
        <w:spacing w:line="360" w:lineRule="auto"/>
        <w:jc w:val="both"/>
      </w:pPr>
    </w:p>
    <w:p w14:paraId="4AD72ECC" w14:textId="075DBC3E" w:rsidR="00D36DF2" w:rsidRPr="00EC7B47" w:rsidRDefault="00EC7B47" w:rsidP="00A268D0">
      <w:pPr>
        <w:spacing w:line="360" w:lineRule="auto"/>
        <w:jc w:val="both"/>
        <w:rPr>
          <w:b/>
          <w:bCs/>
        </w:rPr>
      </w:pPr>
      <w:r w:rsidRPr="00EC7B47">
        <w:rPr>
          <w:b/>
          <w:bCs/>
        </w:rPr>
        <w:t>Modifiche al superbonus edilizio</w:t>
      </w:r>
    </w:p>
    <w:p w14:paraId="589ACF76" w14:textId="1CD735F1" w:rsidR="00D15545" w:rsidRPr="00D15545" w:rsidRDefault="00D15545" w:rsidP="00D15545">
      <w:pPr>
        <w:spacing w:line="360" w:lineRule="auto"/>
        <w:jc w:val="both"/>
      </w:pPr>
      <w:r>
        <w:t>P</w:t>
      </w:r>
      <w:r w:rsidRPr="00D15545">
        <w:t xml:space="preserve">er il superbonus </w:t>
      </w:r>
      <w:r w:rsidR="00935291" w:rsidRPr="00935291">
        <w:t>edilizio</w:t>
      </w:r>
      <w:r>
        <w:t>, i</w:t>
      </w:r>
      <w:r w:rsidRPr="00D15545">
        <w:t>n primo luogo, cambia il calendario del superbonus</w:t>
      </w:r>
      <w:r w:rsidR="00935291">
        <w:t xml:space="preserve"> e le aliquote</w:t>
      </w:r>
      <w:r w:rsidRPr="00D15545">
        <w:t>. In particolare, ferma restando la scadenza del 30 giugno 2022, la detrazione viene prorogata:</w:t>
      </w:r>
    </w:p>
    <w:p w14:paraId="4615BD34" w14:textId="3F41A183" w:rsidR="00D15545" w:rsidRPr="00D15545" w:rsidRDefault="00D15545" w:rsidP="00D15545">
      <w:pPr>
        <w:spacing w:line="360" w:lineRule="auto"/>
        <w:jc w:val="both"/>
      </w:pPr>
      <w:r w:rsidRPr="00D15545">
        <w:t>- </w:t>
      </w:r>
      <w:r w:rsidRPr="00D15545">
        <w:rPr>
          <w:b/>
          <w:bCs/>
        </w:rPr>
        <w:t>fino al 31 dicembre 2025</w:t>
      </w:r>
      <w:r w:rsidRPr="00D15545">
        <w:t xml:space="preserve">, per gli interventi effettuati dai condomìni, dalle persone fisiche proprietarie (o comproprietarie) di edifici composti </w:t>
      </w:r>
      <w:r w:rsidR="00935291">
        <w:t xml:space="preserve">da 2 </w:t>
      </w:r>
      <w:r w:rsidRPr="00D15545">
        <w:t xml:space="preserve">a 4 unità immobiliari e da ONLUS, organizzazioni di volontariato e associazioni di promozione sociale, compresi gli interventi effettuati dalle persone fisiche sulle singole unità immobiliari all’interno dello stesso condominio o dello stesso </w:t>
      </w:r>
      <w:r w:rsidRPr="00D15545">
        <w:lastRenderedPageBreak/>
        <w:t>edificio interamente posseduto. La percentuale di detrazione sarà pari al 110% fino al 31 dicembre 2023, al 70% nel 2024 e al 65% nel 2025;</w:t>
      </w:r>
    </w:p>
    <w:p w14:paraId="4B085DD7" w14:textId="77777777" w:rsidR="00D15545" w:rsidRPr="00D15545" w:rsidRDefault="00D15545" w:rsidP="00D15545">
      <w:pPr>
        <w:spacing w:line="360" w:lineRule="auto"/>
        <w:jc w:val="both"/>
      </w:pPr>
      <w:r w:rsidRPr="00D15545">
        <w:t>- </w:t>
      </w:r>
      <w:r w:rsidRPr="00D15545">
        <w:rPr>
          <w:b/>
          <w:bCs/>
        </w:rPr>
        <w:t>fino al 31 dicembre 2023</w:t>
      </w:r>
      <w:r w:rsidRPr="00D15545">
        <w:t>, per gli interventi effettuati dagli IACP ed enti equivalenti, compresi quelli effettuati dalle persone fisiche sulle singole unità immobiliari all’interno dello stesso edificio, e dalle cooperative a proprietà indivisa;</w:t>
      </w:r>
    </w:p>
    <w:p w14:paraId="1B04D4CE" w14:textId="6D2641C3" w:rsidR="00D15545" w:rsidRDefault="00D15545" w:rsidP="00D15545">
      <w:pPr>
        <w:spacing w:line="360" w:lineRule="auto"/>
        <w:jc w:val="both"/>
      </w:pPr>
      <w:r w:rsidRPr="00D15545">
        <w:t>- </w:t>
      </w:r>
      <w:r w:rsidRPr="00D15545">
        <w:rPr>
          <w:b/>
          <w:bCs/>
        </w:rPr>
        <w:t>fino al 31 dicembre 2022</w:t>
      </w:r>
      <w:r w:rsidRPr="00D15545">
        <w:t xml:space="preserve">, per gli interventi effettuati su </w:t>
      </w:r>
      <w:r w:rsidR="00935291">
        <w:t xml:space="preserve">singole </w:t>
      </w:r>
      <w:r w:rsidRPr="00D15545">
        <w:t>unità immobiliari dalle persone fisiche</w:t>
      </w:r>
      <w:r>
        <w:t xml:space="preserve">, </w:t>
      </w:r>
      <w:r w:rsidRPr="00D15545">
        <w:t xml:space="preserve">a </w:t>
      </w:r>
      <w:r>
        <w:t>condizione</w:t>
      </w:r>
      <w:r w:rsidRPr="00D15545">
        <w:t xml:space="preserve"> che al 30 </w:t>
      </w:r>
      <w:proofErr w:type="gramStart"/>
      <w:r w:rsidRPr="00D15545">
        <w:t>Giugno</w:t>
      </w:r>
      <w:proofErr w:type="gramEnd"/>
      <w:r w:rsidRPr="00D15545">
        <w:t xml:space="preserve"> 2022 siano completati i lavori per il 30% del valore complessivo.</w:t>
      </w:r>
    </w:p>
    <w:p w14:paraId="6FB5B8E4" w14:textId="29830821" w:rsidR="009D62CF" w:rsidRDefault="009D62CF" w:rsidP="00D15545">
      <w:pPr>
        <w:spacing w:line="360" w:lineRule="auto"/>
        <w:jc w:val="both"/>
      </w:pPr>
    </w:p>
    <w:p w14:paraId="67302341" w14:textId="77777777" w:rsidR="009D62CF" w:rsidRPr="009D62CF" w:rsidRDefault="009D62CF" w:rsidP="009D62CF">
      <w:pPr>
        <w:spacing w:line="360" w:lineRule="auto"/>
        <w:jc w:val="both"/>
        <w:rPr>
          <w:b/>
          <w:bCs/>
        </w:rPr>
      </w:pPr>
      <w:r w:rsidRPr="009D62CF">
        <w:rPr>
          <w:b/>
          <w:bCs/>
        </w:rPr>
        <w:t>Altre detrazioni edilizie</w:t>
      </w:r>
    </w:p>
    <w:p w14:paraId="3CC56827" w14:textId="77777777" w:rsidR="009D62CF" w:rsidRPr="009D62CF" w:rsidRDefault="009D62CF" w:rsidP="009D62CF">
      <w:pPr>
        <w:spacing w:line="360" w:lineRule="auto"/>
        <w:jc w:val="both"/>
      </w:pPr>
      <w:r w:rsidRPr="009D62CF">
        <w:t>Il termine finale è stato prorogato al </w:t>
      </w:r>
      <w:r w:rsidRPr="009D62CF">
        <w:rPr>
          <w:b/>
          <w:bCs/>
        </w:rPr>
        <w:t>31.12.2024</w:t>
      </w:r>
      <w:r w:rsidRPr="009D62CF">
        <w:t> per tutte le seguenti detrazioni edilizie:</w:t>
      </w:r>
    </w:p>
    <w:p w14:paraId="7C397D73" w14:textId="6A35C03E" w:rsidR="009D62CF" w:rsidRPr="009D62CF" w:rsidRDefault="009D62CF" w:rsidP="009D62CF">
      <w:pPr>
        <w:spacing w:line="360" w:lineRule="auto"/>
        <w:jc w:val="both"/>
      </w:pPr>
      <w:r>
        <w:t xml:space="preserve">- </w:t>
      </w:r>
      <w:r w:rsidRPr="009D62CF">
        <w:rPr>
          <w:b/>
          <w:bCs/>
        </w:rPr>
        <w:t>bonus ristrutturazione al 50%</w:t>
      </w:r>
      <w:r w:rsidRPr="009D62CF">
        <w:t> (dal 2025 prevista la misura ordinaria del 36%);</w:t>
      </w:r>
    </w:p>
    <w:p w14:paraId="448EAA73" w14:textId="35D7BA9C" w:rsidR="009D62CF" w:rsidRPr="009D62CF" w:rsidRDefault="009D62CF" w:rsidP="009D62CF">
      <w:pPr>
        <w:spacing w:line="360" w:lineRule="auto"/>
        <w:jc w:val="both"/>
        <w:rPr>
          <w:b/>
          <w:bCs/>
        </w:rPr>
      </w:pPr>
      <w:r>
        <w:t xml:space="preserve">- </w:t>
      </w:r>
      <w:proofErr w:type="spellStart"/>
      <w:r w:rsidRPr="009D62CF">
        <w:rPr>
          <w:b/>
          <w:bCs/>
        </w:rPr>
        <w:t>sismabonus</w:t>
      </w:r>
      <w:proofErr w:type="spellEnd"/>
      <w:r w:rsidRPr="009D62CF">
        <w:rPr>
          <w:b/>
          <w:bCs/>
        </w:rPr>
        <w:t xml:space="preserve"> e </w:t>
      </w:r>
      <w:proofErr w:type="spellStart"/>
      <w:r w:rsidRPr="009D62CF">
        <w:rPr>
          <w:b/>
          <w:bCs/>
        </w:rPr>
        <w:t>sismabonus</w:t>
      </w:r>
      <w:proofErr w:type="spellEnd"/>
      <w:r w:rsidRPr="009D62CF">
        <w:rPr>
          <w:b/>
          <w:bCs/>
        </w:rPr>
        <w:t xml:space="preserve"> acquisti;</w:t>
      </w:r>
    </w:p>
    <w:p w14:paraId="302DD96A" w14:textId="6FC0647D" w:rsidR="009D62CF" w:rsidRPr="009D62CF" w:rsidRDefault="009D62CF" w:rsidP="009D62CF">
      <w:pPr>
        <w:spacing w:line="360" w:lineRule="auto"/>
        <w:jc w:val="both"/>
      </w:pPr>
      <w:r>
        <w:rPr>
          <w:b/>
          <w:bCs/>
        </w:rPr>
        <w:t xml:space="preserve">- </w:t>
      </w:r>
      <w:r w:rsidRPr="009D62CF">
        <w:rPr>
          <w:b/>
          <w:bCs/>
        </w:rPr>
        <w:t>ecobonus</w:t>
      </w:r>
      <w:r w:rsidRPr="009D62CF">
        <w:t> 50%, 65%, 75%, 85%;</w:t>
      </w:r>
    </w:p>
    <w:p w14:paraId="69FA96F7" w14:textId="50DE2C2D" w:rsidR="009D62CF" w:rsidRPr="009D62CF" w:rsidRDefault="009D62CF" w:rsidP="009D62CF">
      <w:pPr>
        <w:spacing w:line="360" w:lineRule="auto"/>
        <w:jc w:val="both"/>
      </w:pPr>
      <w:r>
        <w:rPr>
          <w:b/>
          <w:bCs/>
        </w:rPr>
        <w:t xml:space="preserve">- </w:t>
      </w:r>
      <w:r w:rsidRPr="009D62CF">
        <w:rPr>
          <w:b/>
          <w:bCs/>
        </w:rPr>
        <w:t>bonus mobili</w:t>
      </w:r>
      <w:r w:rsidRPr="009D62CF">
        <w:t> (ma con limite di spesa ridotto a 10.000 euro nel 2022; 5.000 euro nel 2023 e 2024);</w:t>
      </w:r>
      <w:r w:rsidRPr="009D62CF">
        <w:br/>
      </w:r>
      <w:r>
        <w:t xml:space="preserve">- </w:t>
      </w:r>
      <w:r w:rsidRPr="009D62CF">
        <w:rPr>
          <w:b/>
          <w:bCs/>
        </w:rPr>
        <w:t>bonus verde</w:t>
      </w:r>
      <w:r w:rsidRPr="009D62CF">
        <w:t>. </w:t>
      </w:r>
    </w:p>
    <w:p w14:paraId="4D7E6B4E" w14:textId="77777777" w:rsidR="009D62CF" w:rsidRPr="009D62CF" w:rsidRDefault="009D62CF" w:rsidP="009D62CF">
      <w:pPr>
        <w:spacing w:line="360" w:lineRule="auto"/>
        <w:jc w:val="both"/>
      </w:pPr>
    </w:p>
    <w:p w14:paraId="05E7668E" w14:textId="77777777" w:rsidR="009D62CF" w:rsidRPr="009D62CF" w:rsidRDefault="009D62CF" w:rsidP="009D62CF">
      <w:pPr>
        <w:spacing w:line="360" w:lineRule="auto"/>
        <w:jc w:val="both"/>
        <w:rPr>
          <w:b/>
          <w:bCs/>
        </w:rPr>
      </w:pPr>
      <w:r w:rsidRPr="009D62CF">
        <w:rPr>
          <w:b/>
          <w:bCs/>
        </w:rPr>
        <w:t>Bonus facciate</w:t>
      </w:r>
    </w:p>
    <w:p w14:paraId="1956198C" w14:textId="77777777" w:rsidR="009D62CF" w:rsidRPr="009D62CF" w:rsidRDefault="009D62CF" w:rsidP="009D62CF">
      <w:pPr>
        <w:spacing w:line="360" w:lineRule="auto"/>
        <w:jc w:val="both"/>
      </w:pPr>
      <w:r w:rsidRPr="009D62CF">
        <w:t>Viene </w:t>
      </w:r>
      <w:r w:rsidRPr="009D62CF">
        <w:rPr>
          <w:b/>
          <w:bCs/>
        </w:rPr>
        <w:t>esteso al 2022</w:t>
      </w:r>
      <w:r w:rsidRPr="009D62CF">
        <w:t> il </w:t>
      </w:r>
      <w:r w:rsidRPr="009D62CF">
        <w:rPr>
          <w:b/>
          <w:bCs/>
        </w:rPr>
        <w:t>bonus facciate</w:t>
      </w:r>
      <w:r w:rsidRPr="009D62CF">
        <w:t>, con </w:t>
      </w:r>
      <w:r w:rsidRPr="009D62CF">
        <w:rPr>
          <w:b/>
          <w:bCs/>
        </w:rPr>
        <w:t>riduzione dal 90 al 60%</w:t>
      </w:r>
      <w:r w:rsidRPr="009D62CF">
        <w:t> della percentuale di detraibilità.</w:t>
      </w:r>
    </w:p>
    <w:p w14:paraId="22DB92DC" w14:textId="646BBA01" w:rsidR="009D62CF" w:rsidRDefault="009D62CF" w:rsidP="00D15545">
      <w:pPr>
        <w:spacing w:line="360" w:lineRule="auto"/>
        <w:jc w:val="both"/>
      </w:pPr>
    </w:p>
    <w:p w14:paraId="37B5E7A1" w14:textId="77777777" w:rsidR="00125025" w:rsidRDefault="00125025" w:rsidP="00D15545">
      <w:pPr>
        <w:spacing w:line="360" w:lineRule="auto"/>
        <w:jc w:val="both"/>
        <w:rPr>
          <w:b/>
          <w:bCs/>
        </w:rPr>
      </w:pPr>
      <w:r w:rsidRPr="00125025">
        <w:rPr>
          <w:b/>
          <w:bCs/>
        </w:rPr>
        <w:t>Eliminazione delle barriere architettoniche</w:t>
      </w:r>
    </w:p>
    <w:p w14:paraId="13CB94FA" w14:textId="5883E6E6" w:rsidR="00125025" w:rsidRDefault="00125025" w:rsidP="00D15545">
      <w:pPr>
        <w:spacing w:line="360" w:lineRule="auto"/>
        <w:jc w:val="both"/>
      </w:pPr>
      <w:r w:rsidRPr="00125025">
        <w:t>Introdotta una nuova detrazione Irpef, da ripartire in cinque quote annuali di pari importo, relativa alle spese sostenute nel 2022 per interventi finalizzati al superamento ed eliminazione di barriere architettoniche in edifici già esistenti; in alternativa alla fruizione della detrazione in dichiarazione, è possibile optare per lo sconto in fattura o la cessione del credito. Il bonus è pari al 75% delle spese sostenute fino a un importo massimo variabile, da 30mila a 50mila euro, a seconda dell’edificio su cui sono eseguiti i lavori.</w:t>
      </w:r>
    </w:p>
    <w:p w14:paraId="19CFB8A9" w14:textId="50EBEEE8" w:rsidR="00125025" w:rsidRDefault="00125025" w:rsidP="00D15545">
      <w:pPr>
        <w:spacing w:line="360" w:lineRule="auto"/>
        <w:jc w:val="both"/>
      </w:pPr>
    </w:p>
    <w:p w14:paraId="06391283" w14:textId="77777777" w:rsidR="00125025" w:rsidRDefault="00125025" w:rsidP="00D15545">
      <w:pPr>
        <w:spacing w:line="360" w:lineRule="auto"/>
        <w:jc w:val="both"/>
      </w:pPr>
    </w:p>
    <w:p w14:paraId="4DF4A236" w14:textId="77777777" w:rsidR="009D62CF" w:rsidRPr="009D62CF" w:rsidRDefault="009D62CF" w:rsidP="009D62CF">
      <w:pPr>
        <w:spacing w:line="360" w:lineRule="auto"/>
        <w:jc w:val="both"/>
        <w:rPr>
          <w:b/>
          <w:bCs/>
        </w:rPr>
      </w:pPr>
      <w:r w:rsidRPr="009D62CF">
        <w:rPr>
          <w:b/>
          <w:bCs/>
        </w:rPr>
        <w:lastRenderedPageBreak/>
        <w:t>Cessione del credito e sconto in fattura per le detrazioni edilizie</w:t>
      </w:r>
    </w:p>
    <w:p w14:paraId="3EC23B6E" w14:textId="77777777" w:rsidR="009D62CF" w:rsidRPr="009D62CF" w:rsidRDefault="009D62CF" w:rsidP="009D62CF">
      <w:pPr>
        <w:spacing w:line="360" w:lineRule="auto"/>
        <w:jc w:val="both"/>
      </w:pPr>
      <w:r w:rsidRPr="009D62CF">
        <w:t>L’opzione per la cessione del credito e lo sconto in fattura viene riconosciuta anche per le </w:t>
      </w:r>
      <w:r w:rsidRPr="009D62CF">
        <w:rPr>
          <w:b/>
          <w:bCs/>
        </w:rPr>
        <w:t>annualità 2024 e 2025</w:t>
      </w:r>
      <w:r w:rsidRPr="009D62CF">
        <w:t>, con </w:t>
      </w:r>
      <w:r w:rsidRPr="009D62CF">
        <w:rPr>
          <w:b/>
          <w:bCs/>
        </w:rPr>
        <w:t>estensione del numero di detrazioni per le quali l’opzione risulta possibile </w:t>
      </w:r>
      <w:r w:rsidRPr="009D62CF">
        <w:t>(che ora ricomprendono anche gli interventi per la </w:t>
      </w:r>
      <w:r w:rsidRPr="009D62CF">
        <w:rPr>
          <w:b/>
          <w:bCs/>
        </w:rPr>
        <w:t>rimozione delle barriere architettoniche</w:t>
      </w:r>
      <w:r w:rsidRPr="009D62CF">
        <w:t> e la </w:t>
      </w:r>
      <w:r w:rsidRPr="009D62CF">
        <w:rPr>
          <w:b/>
          <w:bCs/>
        </w:rPr>
        <w:t>realizzazione di box auto pertinenziali</w:t>
      </w:r>
      <w:r w:rsidRPr="009D62CF">
        <w:t>). Restano </w:t>
      </w:r>
      <w:r w:rsidRPr="009D62CF">
        <w:rPr>
          <w:b/>
          <w:bCs/>
        </w:rPr>
        <w:t>esclusi</w:t>
      </w:r>
      <w:r w:rsidRPr="009D62CF">
        <w:t> dalla possibilità di cessione/sconto in fattura il</w:t>
      </w:r>
      <w:r w:rsidRPr="009D62CF">
        <w:rPr>
          <w:b/>
          <w:bCs/>
        </w:rPr>
        <w:t> bonus mobili </w:t>
      </w:r>
      <w:r w:rsidRPr="009D62CF">
        <w:t>e il </w:t>
      </w:r>
      <w:r w:rsidRPr="009D62CF">
        <w:rPr>
          <w:b/>
          <w:bCs/>
        </w:rPr>
        <w:t>bonus colonnine “ordinario”</w:t>
      </w:r>
      <w:r w:rsidRPr="009D62CF">
        <w:t>.</w:t>
      </w:r>
    </w:p>
    <w:p w14:paraId="3C6ECF97" w14:textId="77777777" w:rsidR="009D62CF" w:rsidRPr="009D62CF" w:rsidRDefault="009D62CF" w:rsidP="009D62CF">
      <w:pPr>
        <w:spacing w:line="360" w:lineRule="auto"/>
        <w:jc w:val="both"/>
      </w:pPr>
      <w:r w:rsidRPr="009D62CF">
        <w:t>Viene espressamente riconosciuta la </w:t>
      </w:r>
      <w:r w:rsidRPr="009D62CF">
        <w:rPr>
          <w:b/>
          <w:bCs/>
        </w:rPr>
        <w:t>detraibilità del compenso per il rilascio del visto di conformità e dell’attestazione di congruità</w:t>
      </w:r>
      <w:r w:rsidRPr="009D62CF">
        <w:t> anche nel caso di cessione/sconto in fattura dei bonus edilizi “minori”.</w:t>
      </w:r>
    </w:p>
    <w:p w14:paraId="021EAB87" w14:textId="77777777" w:rsidR="009D62CF" w:rsidRPr="009D62CF" w:rsidRDefault="009D62CF" w:rsidP="009D62CF">
      <w:pPr>
        <w:spacing w:line="360" w:lineRule="auto"/>
        <w:jc w:val="both"/>
      </w:pPr>
      <w:r w:rsidRPr="009D62CF">
        <w:t>Viene escluso l’obbligo del </w:t>
      </w:r>
      <w:r w:rsidRPr="009D62CF">
        <w:rPr>
          <w:b/>
          <w:bCs/>
        </w:rPr>
        <w:t>visto di conformità </w:t>
      </w:r>
      <w:r w:rsidRPr="009D62CF">
        <w:t>per le </w:t>
      </w:r>
      <w:r w:rsidRPr="009D62CF">
        <w:rPr>
          <w:b/>
          <w:bCs/>
        </w:rPr>
        <w:t>opere di edilizia libera </w:t>
      </w:r>
      <w:r w:rsidRPr="009D62CF">
        <w:t>e </w:t>
      </w:r>
      <w:r w:rsidRPr="009D62CF">
        <w:rPr>
          <w:b/>
          <w:bCs/>
        </w:rPr>
        <w:t>per gli interventi di importo complessivo non superiore a 10.000 euro</w:t>
      </w:r>
      <w:r w:rsidRPr="009D62CF">
        <w:t>, eseguiti sulle singole unità immobiliari o sulle parti comuni dell’edificio, </w:t>
      </w:r>
      <w:r w:rsidRPr="009D62CF">
        <w:rPr>
          <w:b/>
          <w:bCs/>
        </w:rPr>
        <w:t>fatta eccezione per gli interventi relativi al cd. </w:t>
      </w:r>
      <w:r w:rsidRPr="009D62CF">
        <w:rPr>
          <w:b/>
          <w:bCs/>
          <w:i/>
          <w:iCs/>
        </w:rPr>
        <w:t>bonus </w:t>
      </w:r>
      <w:r w:rsidRPr="009D62CF">
        <w:rPr>
          <w:b/>
          <w:bCs/>
        </w:rPr>
        <w:t>facciate</w:t>
      </w:r>
      <w:r w:rsidRPr="009D62CF">
        <w:t>. </w:t>
      </w:r>
    </w:p>
    <w:p w14:paraId="5B2F6CEA" w14:textId="4572360F" w:rsidR="00F74761" w:rsidRDefault="00F74761" w:rsidP="00D36274">
      <w:pPr>
        <w:spacing w:line="360" w:lineRule="auto"/>
        <w:jc w:val="both"/>
      </w:pPr>
    </w:p>
    <w:p w14:paraId="2F2ECD0D" w14:textId="77777777" w:rsidR="00152696" w:rsidRPr="00152696" w:rsidRDefault="00152696" w:rsidP="00152696">
      <w:pPr>
        <w:spacing w:line="360" w:lineRule="auto"/>
        <w:jc w:val="both"/>
        <w:rPr>
          <w:b/>
          <w:bCs/>
        </w:rPr>
      </w:pPr>
      <w:r w:rsidRPr="00152696">
        <w:rPr>
          <w:b/>
          <w:bCs/>
        </w:rPr>
        <w:t>Proroga credito d’imposta beni strumentali</w:t>
      </w:r>
    </w:p>
    <w:p w14:paraId="317D26FE" w14:textId="77777777" w:rsidR="00152696" w:rsidRPr="00152696" w:rsidRDefault="00152696" w:rsidP="00152696">
      <w:pPr>
        <w:spacing w:line="360" w:lineRule="auto"/>
        <w:jc w:val="both"/>
      </w:pPr>
      <w:r w:rsidRPr="00152696">
        <w:t>Per gli </w:t>
      </w:r>
      <w:r w:rsidRPr="00152696">
        <w:rPr>
          <w:b/>
          <w:bCs/>
        </w:rPr>
        <w:t>investimenti in beni materiali 4.0 effettuati dal 2023 al 2025</w:t>
      </w:r>
      <w:r w:rsidRPr="00152696">
        <w:t> il </w:t>
      </w:r>
      <w:r w:rsidRPr="00152696">
        <w:rPr>
          <w:b/>
          <w:bCs/>
        </w:rPr>
        <w:t>credito d’imposta </w:t>
      </w:r>
      <w:r w:rsidRPr="00152696">
        <w:t>è riconosciuto nella misura:</w:t>
      </w:r>
    </w:p>
    <w:p w14:paraId="294DABC0" w14:textId="4EDFE3BD" w:rsidR="00152696" w:rsidRPr="00152696" w:rsidRDefault="00152696" w:rsidP="00152696">
      <w:pPr>
        <w:spacing w:line="360" w:lineRule="auto"/>
        <w:jc w:val="both"/>
      </w:pPr>
      <w:r w:rsidRPr="00152696">
        <w:t>- del</w:t>
      </w:r>
      <w:r>
        <w:t xml:space="preserve"> </w:t>
      </w:r>
      <w:r w:rsidRPr="00152696">
        <w:rPr>
          <w:b/>
          <w:bCs/>
        </w:rPr>
        <w:t>20%</w:t>
      </w:r>
      <w:r>
        <w:rPr>
          <w:b/>
          <w:bCs/>
        </w:rPr>
        <w:t xml:space="preserve"> </w:t>
      </w:r>
      <w:r w:rsidRPr="00152696">
        <w:t>del costo, per investimenti fino a 2,5 milioni di euro; </w:t>
      </w:r>
    </w:p>
    <w:p w14:paraId="23C2B78C" w14:textId="64469FBF" w:rsidR="00152696" w:rsidRPr="00152696" w:rsidRDefault="00152696" w:rsidP="00152696">
      <w:pPr>
        <w:spacing w:line="360" w:lineRule="auto"/>
        <w:jc w:val="both"/>
      </w:pPr>
      <w:r w:rsidRPr="00152696">
        <w:t xml:space="preserve">- </w:t>
      </w:r>
      <w:r w:rsidRPr="00152696">
        <w:rPr>
          <w:b/>
          <w:bCs/>
        </w:rPr>
        <w:t>10%</w:t>
      </w:r>
      <w:r>
        <w:rPr>
          <w:b/>
          <w:bCs/>
        </w:rPr>
        <w:t xml:space="preserve"> </w:t>
      </w:r>
      <w:r w:rsidRPr="00152696">
        <w:t>del costo, per gli investimenti fino a 10 milioni di euro; </w:t>
      </w:r>
    </w:p>
    <w:p w14:paraId="000844B0" w14:textId="2A875C7A" w:rsidR="00152696" w:rsidRPr="00152696" w:rsidRDefault="00152696" w:rsidP="00152696">
      <w:pPr>
        <w:spacing w:line="360" w:lineRule="auto"/>
        <w:jc w:val="both"/>
        <w:rPr>
          <w:b/>
          <w:bCs/>
        </w:rPr>
      </w:pPr>
      <w:r w:rsidRPr="00152696">
        <w:t xml:space="preserve">- </w:t>
      </w:r>
      <w:r w:rsidRPr="00152696">
        <w:rPr>
          <w:b/>
          <w:bCs/>
        </w:rPr>
        <w:t>5%</w:t>
      </w:r>
      <w:r>
        <w:rPr>
          <w:b/>
          <w:bCs/>
        </w:rPr>
        <w:t xml:space="preserve"> </w:t>
      </w:r>
      <w:r w:rsidRPr="00152696">
        <w:t>per la quota di investimenti fino a</w:t>
      </w:r>
      <w:r>
        <w:t xml:space="preserve"> </w:t>
      </w:r>
      <w:r w:rsidRPr="00152696">
        <w:rPr>
          <w:b/>
          <w:bCs/>
        </w:rPr>
        <w:t>20 milioni di euro.</w:t>
      </w:r>
    </w:p>
    <w:p w14:paraId="46BB6022" w14:textId="7460EB8A" w:rsidR="00152696" w:rsidRDefault="00152696" w:rsidP="00152696">
      <w:pPr>
        <w:spacing w:line="360" w:lineRule="auto"/>
        <w:jc w:val="both"/>
      </w:pPr>
      <w:r w:rsidRPr="00152696">
        <w:t>Per gli investimenti in</w:t>
      </w:r>
      <w:r>
        <w:t xml:space="preserve"> </w:t>
      </w:r>
      <w:r w:rsidRPr="00152696">
        <w:rPr>
          <w:b/>
          <w:bCs/>
        </w:rPr>
        <w:t>beni immateriali connessi a investimenti 4.0 l’agevolazione viene prorogata al 2025</w:t>
      </w:r>
      <w:r>
        <w:rPr>
          <w:b/>
          <w:bCs/>
        </w:rPr>
        <w:t xml:space="preserve"> </w:t>
      </w:r>
      <w:r>
        <w:t>nelle seguenti misure:</w:t>
      </w:r>
    </w:p>
    <w:p w14:paraId="4E94817F" w14:textId="28A6B3D2" w:rsidR="00152696" w:rsidRPr="00152696" w:rsidRDefault="00152696" w:rsidP="00152696">
      <w:pPr>
        <w:spacing w:line="360" w:lineRule="auto"/>
        <w:jc w:val="both"/>
      </w:pPr>
      <w:r w:rsidRPr="00152696">
        <w:t xml:space="preserve">- </w:t>
      </w:r>
      <w:r w:rsidRPr="00152696">
        <w:rPr>
          <w:b/>
          <w:bCs/>
        </w:rPr>
        <w:t>20%</w:t>
      </w:r>
      <w:r>
        <w:rPr>
          <w:b/>
          <w:bCs/>
        </w:rPr>
        <w:t xml:space="preserve"> </w:t>
      </w:r>
      <w:r w:rsidRPr="00152696">
        <w:t>del costo</w:t>
      </w:r>
      <w:r>
        <w:t xml:space="preserve"> nel </w:t>
      </w:r>
      <w:r w:rsidRPr="00152696">
        <w:rPr>
          <w:b/>
          <w:bCs/>
        </w:rPr>
        <w:t>2023</w:t>
      </w:r>
      <w:r w:rsidRPr="00152696">
        <w:t xml:space="preserve">, per investimenti fino a </w:t>
      </w:r>
      <w:r>
        <w:t>1</w:t>
      </w:r>
      <w:r w:rsidRPr="00152696">
        <w:t xml:space="preserve"> milion</w:t>
      </w:r>
      <w:r>
        <w:t>e</w:t>
      </w:r>
      <w:r w:rsidRPr="00152696">
        <w:t xml:space="preserve"> di euro; </w:t>
      </w:r>
    </w:p>
    <w:p w14:paraId="3238CF16" w14:textId="1E4D52FD" w:rsidR="00152696" w:rsidRPr="00152696" w:rsidRDefault="00152696" w:rsidP="00152696">
      <w:pPr>
        <w:spacing w:line="360" w:lineRule="auto"/>
        <w:jc w:val="both"/>
      </w:pPr>
      <w:r w:rsidRPr="00152696">
        <w:t xml:space="preserve">- </w:t>
      </w:r>
      <w:r w:rsidRPr="00152696">
        <w:rPr>
          <w:b/>
          <w:bCs/>
        </w:rPr>
        <w:t>1</w:t>
      </w:r>
      <w:r>
        <w:rPr>
          <w:b/>
          <w:bCs/>
        </w:rPr>
        <w:t>5</w:t>
      </w:r>
      <w:r w:rsidRPr="00152696">
        <w:rPr>
          <w:b/>
          <w:bCs/>
        </w:rPr>
        <w:t>%</w:t>
      </w:r>
      <w:r>
        <w:rPr>
          <w:b/>
          <w:bCs/>
        </w:rPr>
        <w:t xml:space="preserve"> </w:t>
      </w:r>
      <w:r w:rsidRPr="00152696">
        <w:t>del costo</w:t>
      </w:r>
      <w:r>
        <w:t xml:space="preserve"> nel </w:t>
      </w:r>
      <w:r w:rsidRPr="00152696">
        <w:rPr>
          <w:b/>
          <w:bCs/>
        </w:rPr>
        <w:t>2024</w:t>
      </w:r>
      <w:r w:rsidRPr="00152696">
        <w:t>, per investimenti fino a 1 milion</w:t>
      </w:r>
      <w:r>
        <w:t>e</w:t>
      </w:r>
      <w:r w:rsidRPr="00152696">
        <w:t xml:space="preserve"> di euro; </w:t>
      </w:r>
    </w:p>
    <w:p w14:paraId="23D3B7D4" w14:textId="63B37481" w:rsidR="00152696" w:rsidRDefault="00152696" w:rsidP="00152696">
      <w:pPr>
        <w:spacing w:line="360" w:lineRule="auto"/>
        <w:jc w:val="both"/>
      </w:pPr>
      <w:r w:rsidRPr="00152696">
        <w:t xml:space="preserve">- </w:t>
      </w:r>
      <w:r>
        <w:rPr>
          <w:b/>
          <w:bCs/>
        </w:rPr>
        <w:t>10</w:t>
      </w:r>
      <w:r w:rsidRPr="00152696">
        <w:rPr>
          <w:b/>
          <w:bCs/>
        </w:rPr>
        <w:t>%</w:t>
      </w:r>
      <w:r>
        <w:rPr>
          <w:b/>
          <w:bCs/>
        </w:rPr>
        <w:t xml:space="preserve"> </w:t>
      </w:r>
      <w:r w:rsidRPr="00152696">
        <w:t>del costo</w:t>
      </w:r>
      <w:r>
        <w:t xml:space="preserve"> nel </w:t>
      </w:r>
      <w:r w:rsidRPr="00152696">
        <w:rPr>
          <w:b/>
          <w:bCs/>
        </w:rPr>
        <w:t>2024</w:t>
      </w:r>
      <w:r w:rsidRPr="00152696">
        <w:t>, per investimenti fino a 1 milion</w:t>
      </w:r>
      <w:r>
        <w:t>e</w:t>
      </w:r>
      <w:r w:rsidRPr="00152696">
        <w:t xml:space="preserve"> di euro</w:t>
      </w:r>
      <w:r>
        <w:t>.</w:t>
      </w:r>
    </w:p>
    <w:p w14:paraId="583FCAB5" w14:textId="7689697A" w:rsidR="00152696" w:rsidRPr="00152696" w:rsidRDefault="00152696" w:rsidP="00152696">
      <w:pPr>
        <w:spacing w:line="360" w:lineRule="auto"/>
        <w:jc w:val="both"/>
      </w:pPr>
      <w:r w:rsidRPr="00152696">
        <w:rPr>
          <w:b/>
          <w:bCs/>
        </w:rPr>
        <w:t>Nessun credito d’imposta viene invece riconosciuto, dal 2023, per gli investimenti in beni “ordinari non 4.0”</w:t>
      </w:r>
      <w:r w:rsidRPr="00152696">
        <w:t>. </w:t>
      </w:r>
    </w:p>
    <w:p w14:paraId="7CA7A2E5" w14:textId="0C2EC041" w:rsidR="00152696" w:rsidRDefault="00152696" w:rsidP="00D36274">
      <w:pPr>
        <w:spacing w:line="360" w:lineRule="auto"/>
        <w:jc w:val="both"/>
      </w:pPr>
    </w:p>
    <w:p w14:paraId="78922F70" w14:textId="1B32D3E0" w:rsidR="007609E3" w:rsidRDefault="007609E3" w:rsidP="00D36274">
      <w:pPr>
        <w:spacing w:line="360" w:lineRule="auto"/>
        <w:jc w:val="both"/>
      </w:pPr>
    </w:p>
    <w:p w14:paraId="07F6F957" w14:textId="77777777" w:rsidR="007609E3" w:rsidRDefault="007609E3" w:rsidP="00D36274">
      <w:pPr>
        <w:spacing w:line="360" w:lineRule="auto"/>
        <w:jc w:val="both"/>
      </w:pPr>
    </w:p>
    <w:p w14:paraId="712951D1" w14:textId="77777777" w:rsidR="00152696" w:rsidRPr="00152696" w:rsidRDefault="00152696" w:rsidP="00152696">
      <w:pPr>
        <w:spacing w:line="360" w:lineRule="auto"/>
        <w:jc w:val="both"/>
        <w:rPr>
          <w:b/>
          <w:bCs/>
        </w:rPr>
      </w:pPr>
      <w:r w:rsidRPr="00152696">
        <w:rPr>
          <w:b/>
          <w:bCs/>
        </w:rPr>
        <w:lastRenderedPageBreak/>
        <w:t>Estensione del termine per il pagamento delle cartelle di pagamento</w:t>
      </w:r>
    </w:p>
    <w:p w14:paraId="064A4F53" w14:textId="77777777" w:rsidR="00152696" w:rsidRDefault="00152696" w:rsidP="00152696">
      <w:pPr>
        <w:spacing w:line="360" w:lineRule="auto"/>
        <w:jc w:val="both"/>
      </w:pPr>
      <w:r w:rsidRPr="00152696">
        <w:t>È stato esteso a </w:t>
      </w:r>
      <w:r w:rsidRPr="00152696">
        <w:rPr>
          <w:b/>
          <w:bCs/>
        </w:rPr>
        <w:t>180 giorni</w:t>
      </w:r>
      <w:r w:rsidRPr="00152696">
        <w:t> il termine (ordinariamente pari a 60 giorni) per il </w:t>
      </w:r>
      <w:r w:rsidRPr="00152696">
        <w:rPr>
          <w:b/>
          <w:bCs/>
        </w:rPr>
        <w:t>pagamento delle cartelle di pagamento notificate dal 1° gennaio al 31 marzo 2022</w:t>
      </w:r>
      <w:r w:rsidRPr="00152696">
        <w:t>. Si ricorda che il </w:t>
      </w:r>
      <w:r w:rsidRPr="00152696">
        <w:rPr>
          <w:b/>
          <w:bCs/>
        </w:rPr>
        <w:t>Decreto fiscale</w:t>
      </w:r>
      <w:r w:rsidRPr="00152696">
        <w:t> ha già previsto un analogo differimento per le </w:t>
      </w:r>
      <w:r w:rsidRPr="00152696">
        <w:rPr>
          <w:b/>
          <w:bCs/>
        </w:rPr>
        <w:t>cartelle notificate nel periodo 01.09.2021-31.12.2021</w:t>
      </w:r>
      <w:r w:rsidRPr="00152696">
        <w:t>.</w:t>
      </w:r>
      <w:r w:rsidRPr="00152696">
        <w:br/>
      </w:r>
      <w:r>
        <w:t>Il</w:t>
      </w:r>
      <w:r w:rsidRPr="00152696">
        <w:t xml:space="preserve"> maggior termine di 180 </w:t>
      </w:r>
      <w:r w:rsidRPr="00152696">
        <w:rPr>
          <w:b/>
          <w:bCs/>
        </w:rPr>
        <w:t>non</w:t>
      </w:r>
      <w:r w:rsidRPr="00152696">
        <w:t> trova applicazione:</w:t>
      </w:r>
    </w:p>
    <w:p w14:paraId="010F2F9F" w14:textId="05A401CC" w:rsidR="00152696" w:rsidRDefault="00152696" w:rsidP="00152696">
      <w:pPr>
        <w:spacing w:line="360" w:lineRule="auto"/>
        <w:jc w:val="both"/>
      </w:pPr>
      <w:r>
        <w:t>-</w:t>
      </w:r>
      <w:r w:rsidRPr="00152696">
        <w:t xml:space="preserve"> ai fini del </w:t>
      </w:r>
      <w:r w:rsidRPr="00152696">
        <w:rPr>
          <w:b/>
          <w:bCs/>
        </w:rPr>
        <w:t>calcolo del termine per il ricorso</w:t>
      </w:r>
      <w:r w:rsidRPr="00152696">
        <w:t>,</w:t>
      </w:r>
    </w:p>
    <w:p w14:paraId="3DFD05AD" w14:textId="62628C5D" w:rsidR="00152696" w:rsidRDefault="00152696" w:rsidP="00152696">
      <w:pPr>
        <w:spacing w:line="360" w:lineRule="auto"/>
        <w:jc w:val="both"/>
      </w:pPr>
      <w:r>
        <w:t xml:space="preserve">- </w:t>
      </w:r>
      <w:r w:rsidRPr="00152696">
        <w:t>per il </w:t>
      </w:r>
      <w:r w:rsidRPr="00152696">
        <w:rPr>
          <w:b/>
          <w:bCs/>
        </w:rPr>
        <w:t>pagamento degli avvisi di addebito Inps</w:t>
      </w:r>
      <w:r w:rsidRPr="00152696">
        <w:t>,</w:t>
      </w:r>
    </w:p>
    <w:p w14:paraId="5934A9C6" w14:textId="5BA0C200" w:rsidR="00152696" w:rsidRPr="00152696" w:rsidRDefault="00152696" w:rsidP="00152696">
      <w:pPr>
        <w:spacing w:line="360" w:lineRule="auto"/>
        <w:jc w:val="both"/>
      </w:pPr>
      <w:r>
        <w:t xml:space="preserve">- </w:t>
      </w:r>
      <w:r w:rsidRPr="00152696">
        <w:t>in caso di </w:t>
      </w:r>
      <w:r w:rsidRPr="00152696">
        <w:rPr>
          <w:b/>
          <w:bCs/>
        </w:rPr>
        <w:t>ingiunzioni di pagamento notificate dagli enti territoriali</w:t>
      </w:r>
      <w:r w:rsidRPr="00152696">
        <w:t>. </w:t>
      </w:r>
    </w:p>
    <w:p w14:paraId="014E363C" w14:textId="77777777" w:rsidR="00152696" w:rsidRDefault="00152696" w:rsidP="00D36274">
      <w:pPr>
        <w:spacing w:line="360" w:lineRule="auto"/>
        <w:jc w:val="both"/>
      </w:pPr>
    </w:p>
    <w:sectPr w:rsidR="0015269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92ADB" w14:textId="77777777" w:rsidR="003B5D69" w:rsidRDefault="003B5D69">
      <w:r>
        <w:separator/>
      </w:r>
    </w:p>
  </w:endnote>
  <w:endnote w:type="continuationSeparator" w:id="0">
    <w:p w14:paraId="47974236" w14:textId="77777777" w:rsidR="003B5D69" w:rsidRDefault="003B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A7F6"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37657696"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4A8339C0"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74B4BC0"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0EA5C5CB"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2230" w14:textId="77777777" w:rsidR="003B5D69" w:rsidRDefault="003B5D69">
      <w:r>
        <w:separator/>
      </w:r>
    </w:p>
  </w:footnote>
  <w:footnote w:type="continuationSeparator" w:id="0">
    <w:p w14:paraId="7ABB5419" w14:textId="77777777" w:rsidR="003B5D69" w:rsidRDefault="003B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1068" w14:textId="77777777" w:rsidR="005E2050" w:rsidRDefault="00090742">
    <w:pPr>
      <w:pStyle w:val="Intestazione"/>
    </w:pPr>
    <w:r>
      <w:rPr>
        <w:noProof/>
      </w:rPr>
      <w:drawing>
        <wp:anchor distT="0" distB="0" distL="114300" distR="114300" simplePos="0" relativeHeight="251657728" behindDoc="0" locked="0" layoutInCell="1" allowOverlap="1" wp14:anchorId="7C19D96E" wp14:editId="06B751D7">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C6948" w14:textId="77777777" w:rsidR="005E2050" w:rsidRDefault="005E2050">
    <w:pPr>
      <w:pStyle w:val="Intestazione"/>
    </w:pPr>
  </w:p>
  <w:p w14:paraId="749FC09A" w14:textId="77777777" w:rsidR="005E2050" w:rsidRDefault="005E2050">
    <w:pPr>
      <w:pStyle w:val="Intestazione"/>
    </w:pPr>
  </w:p>
  <w:p w14:paraId="2FACBECB" w14:textId="77777777" w:rsidR="005E2050" w:rsidRDefault="005E2050" w:rsidP="0051460C">
    <w:pPr>
      <w:pStyle w:val="Intestazione"/>
      <w:tabs>
        <w:tab w:val="clear" w:pos="4819"/>
        <w:tab w:val="clear" w:pos="9638"/>
      </w:tabs>
      <w:jc w:val="center"/>
    </w:pPr>
    <w:r>
      <w:t>Professionisti d’Impresa</w:t>
    </w:r>
  </w:p>
  <w:p w14:paraId="11204C7D" w14:textId="77777777" w:rsidR="005E2050" w:rsidRDefault="005E2050" w:rsidP="0051460C">
    <w:pPr>
      <w:pStyle w:val="Intestazione"/>
      <w:tabs>
        <w:tab w:val="left" w:pos="142"/>
        <w:tab w:val="left" w:pos="180"/>
      </w:tabs>
      <w:jc w:val="center"/>
    </w:pPr>
    <w:r>
      <w:t>Studio di Consulenza Societaria e Tributaria</w:t>
    </w:r>
  </w:p>
  <w:p w14:paraId="1F23099D"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4"/>
  </w:num>
  <w:num w:numId="5">
    <w:abstractNumId w:val="7"/>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25025"/>
    <w:rsid w:val="00131D35"/>
    <w:rsid w:val="00152696"/>
    <w:rsid w:val="00172BAE"/>
    <w:rsid w:val="001B7DAE"/>
    <w:rsid w:val="002364E8"/>
    <w:rsid w:val="002407B7"/>
    <w:rsid w:val="00260E46"/>
    <w:rsid w:val="00292CC6"/>
    <w:rsid w:val="002E35F2"/>
    <w:rsid w:val="002F7467"/>
    <w:rsid w:val="003B5D69"/>
    <w:rsid w:val="00423765"/>
    <w:rsid w:val="00447160"/>
    <w:rsid w:val="0051460C"/>
    <w:rsid w:val="00525604"/>
    <w:rsid w:val="00576557"/>
    <w:rsid w:val="005C19B6"/>
    <w:rsid w:val="005E2050"/>
    <w:rsid w:val="00617A0A"/>
    <w:rsid w:val="00671A83"/>
    <w:rsid w:val="006D386C"/>
    <w:rsid w:val="006E4BE7"/>
    <w:rsid w:val="00702340"/>
    <w:rsid w:val="00733CA6"/>
    <w:rsid w:val="007609E3"/>
    <w:rsid w:val="007B0EA7"/>
    <w:rsid w:val="00830A14"/>
    <w:rsid w:val="00844330"/>
    <w:rsid w:val="00850DF5"/>
    <w:rsid w:val="00865DB1"/>
    <w:rsid w:val="008B0AE7"/>
    <w:rsid w:val="00935291"/>
    <w:rsid w:val="00997866"/>
    <w:rsid w:val="009D62CF"/>
    <w:rsid w:val="00A268D0"/>
    <w:rsid w:val="00A44C3A"/>
    <w:rsid w:val="00A45B1A"/>
    <w:rsid w:val="00B52F06"/>
    <w:rsid w:val="00B54C6E"/>
    <w:rsid w:val="00BB03EA"/>
    <w:rsid w:val="00C24E1E"/>
    <w:rsid w:val="00C82D18"/>
    <w:rsid w:val="00CF1BE2"/>
    <w:rsid w:val="00D15545"/>
    <w:rsid w:val="00D36274"/>
    <w:rsid w:val="00D36DF2"/>
    <w:rsid w:val="00D96F12"/>
    <w:rsid w:val="00DA7F7D"/>
    <w:rsid w:val="00DD12DF"/>
    <w:rsid w:val="00E125FF"/>
    <w:rsid w:val="00E4304B"/>
    <w:rsid w:val="00E44708"/>
    <w:rsid w:val="00E55566"/>
    <w:rsid w:val="00E845CA"/>
    <w:rsid w:val="00EC7B47"/>
    <w:rsid w:val="00EE4866"/>
    <w:rsid w:val="00F25646"/>
    <w:rsid w:val="00F74761"/>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F01DE"/>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2407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2407B7"/>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2407B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2407B7"/>
    <w:rPr>
      <w:rFonts w:asciiTheme="majorHAnsi" w:eastAsiaTheme="majorEastAsia" w:hAnsiTheme="majorHAnsi" w:cstheme="majorBidi"/>
      <w:color w:val="1F4D78" w:themeColor="accent1" w:themeShade="7F"/>
      <w:sz w:val="24"/>
      <w:szCs w:val="24"/>
    </w:rPr>
  </w:style>
  <w:style w:type="character" w:styleId="Menzionenonrisolta">
    <w:name w:val="Unresolved Mention"/>
    <w:basedOn w:val="Carpredefinitoparagrafo"/>
    <w:uiPriority w:val="99"/>
    <w:semiHidden/>
    <w:unhideWhenUsed/>
    <w:rsid w:val="00D1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2189">
      <w:bodyDiv w:val="1"/>
      <w:marLeft w:val="0"/>
      <w:marRight w:val="0"/>
      <w:marTop w:val="0"/>
      <w:marBottom w:val="0"/>
      <w:divBdr>
        <w:top w:val="none" w:sz="0" w:space="0" w:color="auto"/>
        <w:left w:val="none" w:sz="0" w:space="0" w:color="auto"/>
        <w:bottom w:val="none" w:sz="0" w:space="0" w:color="auto"/>
        <w:right w:val="none" w:sz="0" w:space="0" w:color="auto"/>
      </w:divBdr>
      <w:divsChild>
        <w:div w:id="1598442824">
          <w:marLeft w:val="0"/>
          <w:marRight w:val="0"/>
          <w:marTop w:val="0"/>
          <w:marBottom w:val="300"/>
          <w:divBdr>
            <w:top w:val="none" w:sz="0" w:space="0" w:color="auto"/>
            <w:left w:val="none" w:sz="0" w:space="0" w:color="auto"/>
            <w:bottom w:val="none" w:sz="0" w:space="0" w:color="auto"/>
            <w:right w:val="none" w:sz="0" w:space="0" w:color="auto"/>
          </w:divBdr>
        </w:div>
        <w:div w:id="1787238923">
          <w:marLeft w:val="0"/>
          <w:marRight w:val="0"/>
          <w:marTop w:val="0"/>
          <w:marBottom w:val="300"/>
          <w:divBdr>
            <w:top w:val="none" w:sz="0" w:space="0" w:color="auto"/>
            <w:left w:val="none" w:sz="0" w:space="0" w:color="auto"/>
            <w:bottom w:val="none" w:sz="0" w:space="0" w:color="auto"/>
            <w:right w:val="none" w:sz="0" w:space="0" w:color="auto"/>
          </w:divBdr>
        </w:div>
        <w:div w:id="442310192">
          <w:marLeft w:val="0"/>
          <w:marRight w:val="0"/>
          <w:marTop w:val="0"/>
          <w:marBottom w:val="300"/>
          <w:divBdr>
            <w:top w:val="none" w:sz="0" w:space="0" w:color="auto"/>
            <w:left w:val="none" w:sz="0" w:space="0" w:color="auto"/>
            <w:bottom w:val="none" w:sz="0" w:space="0" w:color="auto"/>
            <w:right w:val="none" w:sz="0" w:space="0" w:color="auto"/>
          </w:divBdr>
        </w:div>
        <w:div w:id="799884237">
          <w:marLeft w:val="0"/>
          <w:marRight w:val="0"/>
          <w:marTop w:val="0"/>
          <w:marBottom w:val="300"/>
          <w:divBdr>
            <w:top w:val="none" w:sz="0" w:space="0" w:color="auto"/>
            <w:left w:val="none" w:sz="0" w:space="0" w:color="auto"/>
            <w:bottom w:val="none" w:sz="0" w:space="0" w:color="auto"/>
            <w:right w:val="none" w:sz="0" w:space="0" w:color="auto"/>
          </w:divBdr>
        </w:div>
        <w:div w:id="1028287995">
          <w:marLeft w:val="0"/>
          <w:marRight w:val="0"/>
          <w:marTop w:val="0"/>
          <w:marBottom w:val="300"/>
          <w:divBdr>
            <w:top w:val="none" w:sz="0" w:space="0" w:color="auto"/>
            <w:left w:val="none" w:sz="0" w:space="0" w:color="auto"/>
            <w:bottom w:val="none" w:sz="0" w:space="0" w:color="auto"/>
            <w:right w:val="none" w:sz="0" w:space="0" w:color="auto"/>
          </w:divBdr>
        </w:div>
        <w:div w:id="1893348374">
          <w:marLeft w:val="0"/>
          <w:marRight w:val="0"/>
          <w:marTop w:val="0"/>
          <w:marBottom w:val="300"/>
          <w:divBdr>
            <w:top w:val="none" w:sz="0" w:space="0" w:color="auto"/>
            <w:left w:val="none" w:sz="0" w:space="0" w:color="auto"/>
            <w:bottom w:val="none" w:sz="0" w:space="0" w:color="auto"/>
            <w:right w:val="none" w:sz="0" w:space="0" w:color="auto"/>
          </w:divBdr>
        </w:div>
        <w:div w:id="1339310027">
          <w:marLeft w:val="0"/>
          <w:marRight w:val="0"/>
          <w:marTop w:val="0"/>
          <w:marBottom w:val="300"/>
          <w:divBdr>
            <w:top w:val="none" w:sz="0" w:space="0" w:color="auto"/>
            <w:left w:val="none" w:sz="0" w:space="0" w:color="auto"/>
            <w:bottom w:val="none" w:sz="0" w:space="0" w:color="auto"/>
            <w:right w:val="none" w:sz="0" w:space="0" w:color="auto"/>
          </w:divBdr>
        </w:div>
        <w:div w:id="1618102904">
          <w:marLeft w:val="0"/>
          <w:marRight w:val="0"/>
          <w:marTop w:val="0"/>
          <w:marBottom w:val="300"/>
          <w:divBdr>
            <w:top w:val="none" w:sz="0" w:space="0" w:color="auto"/>
            <w:left w:val="none" w:sz="0" w:space="0" w:color="auto"/>
            <w:bottom w:val="none" w:sz="0" w:space="0" w:color="auto"/>
            <w:right w:val="none" w:sz="0" w:space="0" w:color="auto"/>
          </w:divBdr>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475874843">
      <w:bodyDiv w:val="1"/>
      <w:marLeft w:val="0"/>
      <w:marRight w:val="0"/>
      <w:marTop w:val="0"/>
      <w:marBottom w:val="0"/>
      <w:divBdr>
        <w:top w:val="none" w:sz="0" w:space="0" w:color="auto"/>
        <w:left w:val="none" w:sz="0" w:space="0" w:color="auto"/>
        <w:bottom w:val="none" w:sz="0" w:space="0" w:color="auto"/>
        <w:right w:val="none" w:sz="0" w:space="0" w:color="auto"/>
      </w:divBdr>
      <w:divsChild>
        <w:div w:id="1319310495">
          <w:marLeft w:val="0"/>
          <w:marRight w:val="0"/>
          <w:marTop w:val="0"/>
          <w:marBottom w:val="0"/>
          <w:divBdr>
            <w:top w:val="none" w:sz="0" w:space="0" w:color="auto"/>
            <w:left w:val="none" w:sz="0" w:space="0" w:color="auto"/>
            <w:bottom w:val="none" w:sz="0" w:space="0" w:color="auto"/>
            <w:right w:val="none" w:sz="0" w:space="0" w:color="auto"/>
          </w:divBdr>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26201694">
      <w:bodyDiv w:val="1"/>
      <w:marLeft w:val="0"/>
      <w:marRight w:val="0"/>
      <w:marTop w:val="0"/>
      <w:marBottom w:val="0"/>
      <w:divBdr>
        <w:top w:val="none" w:sz="0" w:space="0" w:color="auto"/>
        <w:left w:val="none" w:sz="0" w:space="0" w:color="auto"/>
        <w:bottom w:val="none" w:sz="0" w:space="0" w:color="auto"/>
        <w:right w:val="none" w:sz="0" w:space="0" w:color="auto"/>
      </w:divBdr>
      <w:divsChild>
        <w:div w:id="770323855">
          <w:marLeft w:val="0"/>
          <w:marRight w:val="0"/>
          <w:marTop w:val="0"/>
          <w:marBottom w:val="0"/>
          <w:divBdr>
            <w:top w:val="none" w:sz="0" w:space="0" w:color="auto"/>
            <w:left w:val="none" w:sz="0" w:space="0" w:color="auto"/>
            <w:bottom w:val="none" w:sz="0" w:space="0" w:color="auto"/>
            <w:right w:val="none" w:sz="0" w:space="0" w:color="auto"/>
          </w:divBdr>
        </w:div>
      </w:divsChild>
    </w:div>
    <w:div w:id="1336614773">
      <w:bodyDiv w:val="1"/>
      <w:marLeft w:val="0"/>
      <w:marRight w:val="0"/>
      <w:marTop w:val="0"/>
      <w:marBottom w:val="0"/>
      <w:divBdr>
        <w:top w:val="none" w:sz="0" w:space="0" w:color="auto"/>
        <w:left w:val="none" w:sz="0" w:space="0" w:color="auto"/>
        <w:bottom w:val="none" w:sz="0" w:space="0" w:color="auto"/>
        <w:right w:val="none" w:sz="0" w:space="0" w:color="auto"/>
      </w:divBdr>
      <w:divsChild>
        <w:div w:id="76631207">
          <w:marLeft w:val="0"/>
          <w:marRight w:val="0"/>
          <w:marTop w:val="0"/>
          <w:marBottom w:val="0"/>
          <w:divBdr>
            <w:top w:val="none" w:sz="0" w:space="0" w:color="auto"/>
            <w:left w:val="none" w:sz="0" w:space="0" w:color="auto"/>
            <w:bottom w:val="none" w:sz="0" w:space="0" w:color="auto"/>
            <w:right w:val="none" w:sz="0" w:space="0" w:color="auto"/>
          </w:divBdr>
        </w:div>
      </w:divsChild>
    </w:div>
    <w:div w:id="1346133464">
      <w:bodyDiv w:val="1"/>
      <w:marLeft w:val="0"/>
      <w:marRight w:val="0"/>
      <w:marTop w:val="0"/>
      <w:marBottom w:val="0"/>
      <w:divBdr>
        <w:top w:val="none" w:sz="0" w:space="0" w:color="auto"/>
        <w:left w:val="none" w:sz="0" w:space="0" w:color="auto"/>
        <w:bottom w:val="none" w:sz="0" w:space="0" w:color="auto"/>
        <w:right w:val="none" w:sz="0" w:space="0" w:color="auto"/>
      </w:divBdr>
      <w:divsChild>
        <w:div w:id="1761170989">
          <w:marLeft w:val="0"/>
          <w:marRight w:val="0"/>
          <w:marTop w:val="0"/>
          <w:marBottom w:val="300"/>
          <w:divBdr>
            <w:top w:val="none" w:sz="0" w:space="0" w:color="auto"/>
            <w:left w:val="none" w:sz="0" w:space="0" w:color="auto"/>
            <w:bottom w:val="none" w:sz="0" w:space="0" w:color="auto"/>
            <w:right w:val="none" w:sz="0" w:space="0" w:color="auto"/>
          </w:divBdr>
        </w:div>
        <w:div w:id="255677594">
          <w:marLeft w:val="0"/>
          <w:marRight w:val="0"/>
          <w:marTop w:val="0"/>
          <w:marBottom w:val="300"/>
          <w:divBdr>
            <w:top w:val="none" w:sz="0" w:space="0" w:color="auto"/>
            <w:left w:val="none" w:sz="0" w:space="0" w:color="auto"/>
            <w:bottom w:val="none" w:sz="0" w:space="0" w:color="auto"/>
            <w:right w:val="none" w:sz="0" w:space="0" w:color="auto"/>
          </w:divBdr>
        </w:div>
        <w:div w:id="803932770">
          <w:marLeft w:val="0"/>
          <w:marRight w:val="0"/>
          <w:marTop w:val="0"/>
          <w:marBottom w:val="300"/>
          <w:divBdr>
            <w:top w:val="none" w:sz="0" w:space="0" w:color="auto"/>
            <w:left w:val="none" w:sz="0" w:space="0" w:color="auto"/>
            <w:bottom w:val="none" w:sz="0" w:space="0" w:color="auto"/>
            <w:right w:val="none" w:sz="0" w:space="0" w:color="auto"/>
          </w:divBdr>
        </w:div>
        <w:div w:id="1844860645">
          <w:marLeft w:val="0"/>
          <w:marRight w:val="0"/>
          <w:marTop w:val="0"/>
          <w:marBottom w:val="300"/>
          <w:divBdr>
            <w:top w:val="none" w:sz="0" w:space="0" w:color="auto"/>
            <w:left w:val="none" w:sz="0" w:space="0" w:color="auto"/>
            <w:bottom w:val="none" w:sz="0" w:space="0" w:color="auto"/>
            <w:right w:val="none" w:sz="0" w:space="0" w:color="auto"/>
          </w:divBdr>
        </w:div>
        <w:div w:id="727143028">
          <w:marLeft w:val="0"/>
          <w:marRight w:val="0"/>
          <w:marTop w:val="0"/>
          <w:marBottom w:val="300"/>
          <w:divBdr>
            <w:top w:val="none" w:sz="0" w:space="0" w:color="auto"/>
            <w:left w:val="none" w:sz="0" w:space="0" w:color="auto"/>
            <w:bottom w:val="none" w:sz="0" w:space="0" w:color="auto"/>
            <w:right w:val="none" w:sz="0" w:space="0" w:color="auto"/>
          </w:divBdr>
        </w:div>
        <w:div w:id="1479105184">
          <w:marLeft w:val="0"/>
          <w:marRight w:val="0"/>
          <w:marTop w:val="0"/>
          <w:marBottom w:val="300"/>
          <w:divBdr>
            <w:top w:val="none" w:sz="0" w:space="0" w:color="auto"/>
            <w:left w:val="none" w:sz="0" w:space="0" w:color="auto"/>
            <w:bottom w:val="none" w:sz="0" w:space="0" w:color="auto"/>
            <w:right w:val="none" w:sz="0" w:space="0" w:color="auto"/>
          </w:divBdr>
        </w:div>
        <w:div w:id="1566644116">
          <w:marLeft w:val="0"/>
          <w:marRight w:val="0"/>
          <w:marTop w:val="0"/>
          <w:marBottom w:val="300"/>
          <w:divBdr>
            <w:top w:val="none" w:sz="0" w:space="0" w:color="auto"/>
            <w:left w:val="none" w:sz="0" w:space="0" w:color="auto"/>
            <w:bottom w:val="none" w:sz="0" w:space="0" w:color="auto"/>
            <w:right w:val="none" w:sz="0" w:space="0" w:color="auto"/>
          </w:divBdr>
        </w:div>
        <w:div w:id="699277476">
          <w:marLeft w:val="0"/>
          <w:marRight w:val="0"/>
          <w:marTop w:val="0"/>
          <w:marBottom w:val="300"/>
          <w:divBdr>
            <w:top w:val="none" w:sz="0" w:space="0" w:color="auto"/>
            <w:left w:val="none" w:sz="0" w:space="0" w:color="auto"/>
            <w:bottom w:val="none" w:sz="0" w:space="0" w:color="auto"/>
            <w:right w:val="none" w:sz="0" w:space="0" w:color="auto"/>
          </w:divBdr>
        </w:div>
      </w:divsChild>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493178515">
      <w:bodyDiv w:val="1"/>
      <w:marLeft w:val="0"/>
      <w:marRight w:val="0"/>
      <w:marTop w:val="0"/>
      <w:marBottom w:val="0"/>
      <w:divBdr>
        <w:top w:val="none" w:sz="0" w:space="0" w:color="auto"/>
        <w:left w:val="none" w:sz="0" w:space="0" w:color="auto"/>
        <w:bottom w:val="none" w:sz="0" w:space="0" w:color="auto"/>
        <w:right w:val="none" w:sz="0" w:space="0" w:color="auto"/>
      </w:divBdr>
      <w:divsChild>
        <w:div w:id="575482852">
          <w:marLeft w:val="0"/>
          <w:marRight w:val="0"/>
          <w:marTop w:val="0"/>
          <w:marBottom w:val="300"/>
          <w:divBdr>
            <w:top w:val="none" w:sz="0" w:space="0" w:color="auto"/>
            <w:left w:val="none" w:sz="0" w:space="0" w:color="auto"/>
            <w:bottom w:val="none" w:sz="0" w:space="0" w:color="auto"/>
            <w:right w:val="none" w:sz="0" w:space="0" w:color="auto"/>
          </w:divBdr>
        </w:div>
        <w:div w:id="1418550475">
          <w:marLeft w:val="0"/>
          <w:marRight w:val="0"/>
          <w:marTop w:val="0"/>
          <w:marBottom w:val="300"/>
          <w:divBdr>
            <w:top w:val="none" w:sz="0" w:space="0" w:color="auto"/>
            <w:left w:val="none" w:sz="0" w:space="0" w:color="auto"/>
            <w:bottom w:val="none" w:sz="0" w:space="0" w:color="auto"/>
            <w:right w:val="none" w:sz="0" w:space="0" w:color="auto"/>
          </w:divBdr>
        </w:div>
        <w:div w:id="93939964">
          <w:marLeft w:val="0"/>
          <w:marRight w:val="0"/>
          <w:marTop w:val="0"/>
          <w:marBottom w:val="300"/>
          <w:divBdr>
            <w:top w:val="none" w:sz="0" w:space="0" w:color="auto"/>
            <w:left w:val="none" w:sz="0" w:space="0" w:color="auto"/>
            <w:bottom w:val="none" w:sz="0" w:space="0" w:color="auto"/>
            <w:right w:val="none" w:sz="0" w:space="0" w:color="auto"/>
          </w:divBdr>
        </w:div>
        <w:div w:id="619722143">
          <w:marLeft w:val="0"/>
          <w:marRight w:val="0"/>
          <w:marTop w:val="0"/>
          <w:marBottom w:val="300"/>
          <w:divBdr>
            <w:top w:val="none" w:sz="0" w:space="0" w:color="auto"/>
            <w:left w:val="none" w:sz="0" w:space="0" w:color="auto"/>
            <w:bottom w:val="none" w:sz="0" w:space="0" w:color="auto"/>
            <w:right w:val="none" w:sz="0" w:space="0" w:color="auto"/>
          </w:divBdr>
        </w:div>
        <w:div w:id="460274134">
          <w:marLeft w:val="0"/>
          <w:marRight w:val="0"/>
          <w:marTop w:val="0"/>
          <w:marBottom w:val="300"/>
          <w:divBdr>
            <w:top w:val="none" w:sz="0" w:space="0" w:color="auto"/>
            <w:left w:val="none" w:sz="0" w:space="0" w:color="auto"/>
            <w:bottom w:val="none" w:sz="0" w:space="0" w:color="auto"/>
            <w:right w:val="none" w:sz="0" w:space="0" w:color="auto"/>
          </w:divBdr>
        </w:div>
        <w:div w:id="1534536441">
          <w:marLeft w:val="0"/>
          <w:marRight w:val="0"/>
          <w:marTop w:val="0"/>
          <w:marBottom w:val="300"/>
          <w:divBdr>
            <w:top w:val="none" w:sz="0" w:space="0" w:color="auto"/>
            <w:left w:val="none" w:sz="0" w:space="0" w:color="auto"/>
            <w:bottom w:val="none" w:sz="0" w:space="0" w:color="auto"/>
            <w:right w:val="none" w:sz="0" w:space="0" w:color="auto"/>
          </w:divBdr>
        </w:div>
        <w:div w:id="930507909">
          <w:marLeft w:val="0"/>
          <w:marRight w:val="0"/>
          <w:marTop w:val="0"/>
          <w:marBottom w:val="300"/>
          <w:divBdr>
            <w:top w:val="none" w:sz="0" w:space="0" w:color="auto"/>
            <w:left w:val="none" w:sz="0" w:space="0" w:color="auto"/>
            <w:bottom w:val="none" w:sz="0" w:space="0" w:color="auto"/>
            <w:right w:val="none" w:sz="0" w:space="0" w:color="auto"/>
          </w:divBdr>
        </w:div>
        <w:div w:id="1321497527">
          <w:marLeft w:val="0"/>
          <w:marRight w:val="0"/>
          <w:marTop w:val="0"/>
          <w:marBottom w:val="300"/>
          <w:divBdr>
            <w:top w:val="none" w:sz="0" w:space="0" w:color="auto"/>
            <w:left w:val="none" w:sz="0" w:space="0" w:color="auto"/>
            <w:bottom w:val="none" w:sz="0" w:space="0" w:color="auto"/>
            <w:right w:val="none" w:sz="0" w:space="0" w:color="auto"/>
          </w:divBdr>
        </w:div>
      </w:divsChild>
    </w:div>
    <w:div w:id="1497257825">
      <w:bodyDiv w:val="1"/>
      <w:marLeft w:val="0"/>
      <w:marRight w:val="0"/>
      <w:marTop w:val="0"/>
      <w:marBottom w:val="0"/>
      <w:divBdr>
        <w:top w:val="none" w:sz="0" w:space="0" w:color="auto"/>
        <w:left w:val="none" w:sz="0" w:space="0" w:color="auto"/>
        <w:bottom w:val="none" w:sz="0" w:space="0" w:color="auto"/>
        <w:right w:val="none" w:sz="0" w:space="0" w:color="auto"/>
      </w:divBdr>
      <w:divsChild>
        <w:div w:id="837189612">
          <w:marLeft w:val="0"/>
          <w:marRight w:val="0"/>
          <w:marTop w:val="0"/>
          <w:marBottom w:val="300"/>
          <w:divBdr>
            <w:top w:val="none" w:sz="0" w:space="0" w:color="auto"/>
            <w:left w:val="none" w:sz="0" w:space="0" w:color="auto"/>
            <w:bottom w:val="none" w:sz="0" w:space="0" w:color="auto"/>
            <w:right w:val="none" w:sz="0" w:space="0" w:color="auto"/>
          </w:divBdr>
        </w:div>
        <w:div w:id="590243469">
          <w:marLeft w:val="0"/>
          <w:marRight w:val="0"/>
          <w:marTop w:val="0"/>
          <w:marBottom w:val="300"/>
          <w:divBdr>
            <w:top w:val="none" w:sz="0" w:space="0" w:color="auto"/>
            <w:left w:val="none" w:sz="0" w:space="0" w:color="auto"/>
            <w:bottom w:val="none" w:sz="0" w:space="0" w:color="auto"/>
            <w:right w:val="none" w:sz="0" w:space="0" w:color="auto"/>
          </w:divBdr>
        </w:div>
        <w:div w:id="1506045809">
          <w:marLeft w:val="0"/>
          <w:marRight w:val="0"/>
          <w:marTop w:val="0"/>
          <w:marBottom w:val="300"/>
          <w:divBdr>
            <w:top w:val="none" w:sz="0" w:space="0" w:color="auto"/>
            <w:left w:val="none" w:sz="0" w:space="0" w:color="auto"/>
            <w:bottom w:val="none" w:sz="0" w:space="0" w:color="auto"/>
            <w:right w:val="none" w:sz="0" w:space="0" w:color="auto"/>
          </w:divBdr>
        </w:div>
        <w:div w:id="1717853867">
          <w:marLeft w:val="0"/>
          <w:marRight w:val="0"/>
          <w:marTop w:val="0"/>
          <w:marBottom w:val="300"/>
          <w:divBdr>
            <w:top w:val="none" w:sz="0" w:space="0" w:color="auto"/>
            <w:left w:val="none" w:sz="0" w:space="0" w:color="auto"/>
            <w:bottom w:val="none" w:sz="0" w:space="0" w:color="auto"/>
            <w:right w:val="none" w:sz="0" w:space="0" w:color="auto"/>
          </w:divBdr>
        </w:div>
        <w:div w:id="1465544806">
          <w:marLeft w:val="0"/>
          <w:marRight w:val="0"/>
          <w:marTop w:val="0"/>
          <w:marBottom w:val="300"/>
          <w:divBdr>
            <w:top w:val="none" w:sz="0" w:space="0" w:color="auto"/>
            <w:left w:val="none" w:sz="0" w:space="0" w:color="auto"/>
            <w:bottom w:val="none" w:sz="0" w:space="0" w:color="auto"/>
            <w:right w:val="none" w:sz="0" w:space="0" w:color="auto"/>
          </w:divBdr>
        </w:div>
        <w:div w:id="733894191">
          <w:marLeft w:val="0"/>
          <w:marRight w:val="0"/>
          <w:marTop w:val="0"/>
          <w:marBottom w:val="300"/>
          <w:divBdr>
            <w:top w:val="none" w:sz="0" w:space="0" w:color="auto"/>
            <w:left w:val="none" w:sz="0" w:space="0" w:color="auto"/>
            <w:bottom w:val="none" w:sz="0" w:space="0" w:color="auto"/>
            <w:right w:val="none" w:sz="0" w:space="0" w:color="auto"/>
          </w:divBdr>
        </w:div>
        <w:div w:id="1944025472">
          <w:marLeft w:val="0"/>
          <w:marRight w:val="0"/>
          <w:marTop w:val="0"/>
          <w:marBottom w:val="300"/>
          <w:divBdr>
            <w:top w:val="none" w:sz="0" w:space="0" w:color="auto"/>
            <w:left w:val="none" w:sz="0" w:space="0" w:color="auto"/>
            <w:bottom w:val="none" w:sz="0" w:space="0" w:color="auto"/>
            <w:right w:val="none" w:sz="0" w:space="0" w:color="auto"/>
          </w:divBdr>
        </w:div>
        <w:div w:id="1211192485">
          <w:marLeft w:val="0"/>
          <w:marRight w:val="0"/>
          <w:marTop w:val="0"/>
          <w:marBottom w:val="300"/>
          <w:divBdr>
            <w:top w:val="none" w:sz="0" w:space="0" w:color="auto"/>
            <w:left w:val="none" w:sz="0" w:space="0" w:color="auto"/>
            <w:bottom w:val="none" w:sz="0" w:space="0" w:color="auto"/>
            <w:right w:val="none" w:sz="0" w:space="0" w:color="auto"/>
          </w:divBdr>
        </w:div>
      </w:divsChild>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502814585">
      <w:bodyDiv w:val="1"/>
      <w:marLeft w:val="0"/>
      <w:marRight w:val="0"/>
      <w:marTop w:val="0"/>
      <w:marBottom w:val="0"/>
      <w:divBdr>
        <w:top w:val="none" w:sz="0" w:space="0" w:color="auto"/>
        <w:left w:val="none" w:sz="0" w:space="0" w:color="auto"/>
        <w:bottom w:val="none" w:sz="0" w:space="0" w:color="auto"/>
        <w:right w:val="none" w:sz="0" w:space="0" w:color="auto"/>
      </w:divBdr>
      <w:divsChild>
        <w:div w:id="214968915">
          <w:marLeft w:val="0"/>
          <w:marRight w:val="0"/>
          <w:marTop w:val="0"/>
          <w:marBottom w:val="300"/>
          <w:divBdr>
            <w:top w:val="none" w:sz="0" w:space="0" w:color="auto"/>
            <w:left w:val="none" w:sz="0" w:space="0" w:color="auto"/>
            <w:bottom w:val="none" w:sz="0" w:space="0" w:color="auto"/>
            <w:right w:val="none" w:sz="0" w:space="0" w:color="auto"/>
          </w:divBdr>
        </w:div>
        <w:div w:id="1105230692">
          <w:marLeft w:val="0"/>
          <w:marRight w:val="0"/>
          <w:marTop w:val="0"/>
          <w:marBottom w:val="300"/>
          <w:divBdr>
            <w:top w:val="none" w:sz="0" w:space="0" w:color="auto"/>
            <w:left w:val="none" w:sz="0" w:space="0" w:color="auto"/>
            <w:bottom w:val="none" w:sz="0" w:space="0" w:color="auto"/>
            <w:right w:val="none" w:sz="0" w:space="0" w:color="auto"/>
          </w:divBdr>
        </w:div>
        <w:div w:id="1784877977">
          <w:marLeft w:val="0"/>
          <w:marRight w:val="0"/>
          <w:marTop w:val="0"/>
          <w:marBottom w:val="300"/>
          <w:divBdr>
            <w:top w:val="none" w:sz="0" w:space="0" w:color="auto"/>
            <w:left w:val="none" w:sz="0" w:space="0" w:color="auto"/>
            <w:bottom w:val="none" w:sz="0" w:space="0" w:color="auto"/>
            <w:right w:val="none" w:sz="0" w:space="0" w:color="auto"/>
          </w:divBdr>
        </w:div>
        <w:div w:id="1742291449">
          <w:marLeft w:val="0"/>
          <w:marRight w:val="0"/>
          <w:marTop w:val="0"/>
          <w:marBottom w:val="300"/>
          <w:divBdr>
            <w:top w:val="none" w:sz="0" w:space="0" w:color="auto"/>
            <w:left w:val="none" w:sz="0" w:space="0" w:color="auto"/>
            <w:bottom w:val="none" w:sz="0" w:space="0" w:color="auto"/>
            <w:right w:val="none" w:sz="0" w:space="0" w:color="auto"/>
          </w:divBdr>
        </w:div>
        <w:div w:id="2076540561">
          <w:marLeft w:val="0"/>
          <w:marRight w:val="0"/>
          <w:marTop w:val="0"/>
          <w:marBottom w:val="300"/>
          <w:divBdr>
            <w:top w:val="none" w:sz="0" w:space="0" w:color="auto"/>
            <w:left w:val="none" w:sz="0" w:space="0" w:color="auto"/>
            <w:bottom w:val="none" w:sz="0" w:space="0" w:color="auto"/>
            <w:right w:val="none" w:sz="0" w:space="0" w:color="auto"/>
          </w:divBdr>
        </w:div>
        <w:div w:id="688024222">
          <w:marLeft w:val="0"/>
          <w:marRight w:val="0"/>
          <w:marTop w:val="0"/>
          <w:marBottom w:val="300"/>
          <w:divBdr>
            <w:top w:val="none" w:sz="0" w:space="0" w:color="auto"/>
            <w:left w:val="none" w:sz="0" w:space="0" w:color="auto"/>
            <w:bottom w:val="none" w:sz="0" w:space="0" w:color="auto"/>
            <w:right w:val="none" w:sz="0" w:space="0" w:color="auto"/>
          </w:divBdr>
        </w:div>
        <w:div w:id="1176000677">
          <w:marLeft w:val="0"/>
          <w:marRight w:val="0"/>
          <w:marTop w:val="0"/>
          <w:marBottom w:val="300"/>
          <w:divBdr>
            <w:top w:val="none" w:sz="0" w:space="0" w:color="auto"/>
            <w:left w:val="none" w:sz="0" w:space="0" w:color="auto"/>
            <w:bottom w:val="none" w:sz="0" w:space="0" w:color="auto"/>
            <w:right w:val="none" w:sz="0" w:space="0" w:color="auto"/>
          </w:divBdr>
        </w:div>
        <w:div w:id="1133183055">
          <w:marLeft w:val="0"/>
          <w:marRight w:val="0"/>
          <w:marTop w:val="0"/>
          <w:marBottom w:val="300"/>
          <w:divBdr>
            <w:top w:val="none" w:sz="0" w:space="0" w:color="auto"/>
            <w:left w:val="none" w:sz="0" w:space="0" w:color="auto"/>
            <w:bottom w:val="none" w:sz="0" w:space="0" w:color="auto"/>
            <w:right w:val="none" w:sz="0" w:space="0" w:color="auto"/>
          </w:divBdr>
        </w:div>
        <w:div w:id="1311055836">
          <w:marLeft w:val="0"/>
          <w:marRight w:val="0"/>
          <w:marTop w:val="0"/>
          <w:marBottom w:val="300"/>
          <w:divBdr>
            <w:top w:val="none" w:sz="0" w:space="0" w:color="auto"/>
            <w:left w:val="none" w:sz="0" w:space="0" w:color="auto"/>
            <w:bottom w:val="none" w:sz="0" w:space="0" w:color="auto"/>
            <w:right w:val="none" w:sz="0" w:space="0" w:color="auto"/>
          </w:divBdr>
        </w:div>
      </w:divsChild>
    </w:div>
    <w:div w:id="1515457675">
      <w:bodyDiv w:val="1"/>
      <w:marLeft w:val="0"/>
      <w:marRight w:val="0"/>
      <w:marTop w:val="0"/>
      <w:marBottom w:val="0"/>
      <w:divBdr>
        <w:top w:val="none" w:sz="0" w:space="0" w:color="auto"/>
        <w:left w:val="none" w:sz="0" w:space="0" w:color="auto"/>
        <w:bottom w:val="none" w:sz="0" w:space="0" w:color="auto"/>
        <w:right w:val="none" w:sz="0" w:space="0" w:color="auto"/>
      </w:divBdr>
    </w:div>
    <w:div w:id="1605918713">
      <w:bodyDiv w:val="1"/>
      <w:marLeft w:val="0"/>
      <w:marRight w:val="0"/>
      <w:marTop w:val="0"/>
      <w:marBottom w:val="0"/>
      <w:divBdr>
        <w:top w:val="none" w:sz="0" w:space="0" w:color="auto"/>
        <w:left w:val="none" w:sz="0" w:space="0" w:color="auto"/>
        <w:bottom w:val="none" w:sz="0" w:space="0" w:color="auto"/>
        <w:right w:val="none" w:sz="0" w:space="0" w:color="auto"/>
      </w:divBdr>
      <w:divsChild>
        <w:div w:id="428355367">
          <w:marLeft w:val="0"/>
          <w:marRight w:val="0"/>
          <w:marTop w:val="0"/>
          <w:marBottom w:val="300"/>
          <w:divBdr>
            <w:top w:val="none" w:sz="0" w:space="0" w:color="auto"/>
            <w:left w:val="none" w:sz="0" w:space="0" w:color="auto"/>
            <w:bottom w:val="none" w:sz="0" w:space="0" w:color="auto"/>
            <w:right w:val="none" w:sz="0" w:space="0" w:color="auto"/>
          </w:divBdr>
        </w:div>
        <w:div w:id="154541200">
          <w:marLeft w:val="0"/>
          <w:marRight w:val="0"/>
          <w:marTop w:val="0"/>
          <w:marBottom w:val="300"/>
          <w:divBdr>
            <w:top w:val="none" w:sz="0" w:space="0" w:color="auto"/>
            <w:left w:val="none" w:sz="0" w:space="0" w:color="auto"/>
            <w:bottom w:val="none" w:sz="0" w:space="0" w:color="auto"/>
            <w:right w:val="none" w:sz="0" w:space="0" w:color="auto"/>
          </w:divBdr>
        </w:div>
        <w:div w:id="1510633236">
          <w:marLeft w:val="0"/>
          <w:marRight w:val="0"/>
          <w:marTop w:val="0"/>
          <w:marBottom w:val="300"/>
          <w:divBdr>
            <w:top w:val="none" w:sz="0" w:space="0" w:color="auto"/>
            <w:left w:val="none" w:sz="0" w:space="0" w:color="auto"/>
            <w:bottom w:val="none" w:sz="0" w:space="0" w:color="auto"/>
            <w:right w:val="none" w:sz="0" w:space="0" w:color="auto"/>
          </w:divBdr>
        </w:div>
        <w:div w:id="1867981598">
          <w:marLeft w:val="0"/>
          <w:marRight w:val="0"/>
          <w:marTop w:val="0"/>
          <w:marBottom w:val="300"/>
          <w:divBdr>
            <w:top w:val="none" w:sz="0" w:space="0" w:color="auto"/>
            <w:left w:val="none" w:sz="0" w:space="0" w:color="auto"/>
            <w:bottom w:val="none" w:sz="0" w:space="0" w:color="auto"/>
            <w:right w:val="none" w:sz="0" w:space="0" w:color="auto"/>
          </w:divBdr>
        </w:div>
        <w:div w:id="1498036566">
          <w:marLeft w:val="0"/>
          <w:marRight w:val="0"/>
          <w:marTop w:val="0"/>
          <w:marBottom w:val="300"/>
          <w:divBdr>
            <w:top w:val="none" w:sz="0" w:space="0" w:color="auto"/>
            <w:left w:val="none" w:sz="0" w:space="0" w:color="auto"/>
            <w:bottom w:val="none" w:sz="0" w:space="0" w:color="auto"/>
            <w:right w:val="none" w:sz="0" w:space="0" w:color="auto"/>
          </w:divBdr>
        </w:div>
        <w:div w:id="1082681241">
          <w:marLeft w:val="0"/>
          <w:marRight w:val="0"/>
          <w:marTop w:val="0"/>
          <w:marBottom w:val="300"/>
          <w:divBdr>
            <w:top w:val="none" w:sz="0" w:space="0" w:color="auto"/>
            <w:left w:val="none" w:sz="0" w:space="0" w:color="auto"/>
            <w:bottom w:val="none" w:sz="0" w:space="0" w:color="auto"/>
            <w:right w:val="none" w:sz="0" w:space="0" w:color="auto"/>
          </w:divBdr>
        </w:div>
        <w:div w:id="1955281920">
          <w:marLeft w:val="0"/>
          <w:marRight w:val="0"/>
          <w:marTop w:val="0"/>
          <w:marBottom w:val="300"/>
          <w:divBdr>
            <w:top w:val="none" w:sz="0" w:space="0" w:color="auto"/>
            <w:left w:val="none" w:sz="0" w:space="0" w:color="auto"/>
            <w:bottom w:val="none" w:sz="0" w:space="0" w:color="auto"/>
            <w:right w:val="none" w:sz="0" w:space="0" w:color="auto"/>
          </w:divBdr>
        </w:div>
        <w:div w:id="1816333172">
          <w:marLeft w:val="0"/>
          <w:marRight w:val="0"/>
          <w:marTop w:val="0"/>
          <w:marBottom w:val="300"/>
          <w:divBdr>
            <w:top w:val="none" w:sz="0" w:space="0" w:color="auto"/>
            <w:left w:val="none" w:sz="0" w:space="0" w:color="auto"/>
            <w:bottom w:val="none" w:sz="0" w:space="0" w:color="auto"/>
            <w:right w:val="none" w:sz="0" w:space="0" w:color="auto"/>
          </w:divBdr>
        </w:div>
        <w:div w:id="1596205711">
          <w:marLeft w:val="0"/>
          <w:marRight w:val="0"/>
          <w:marTop w:val="0"/>
          <w:marBottom w:val="300"/>
          <w:divBdr>
            <w:top w:val="none" w:sz="0" w:space="0" w:color="auto"/>
            <w:left w:val="none" w:sz="0" w:space="0" w:color="auto"/>
            <w:bottom w:val="none" w:sz="0" w:space="0" w:color="auto"/>
            <w:right w:val="none" w:sz="0" w:space="0" w:color="auto"/>
          </w:divBdr>
        </w:div>
        <w:div w:id="979000124">
          <w:marLeft w:val="0"/>
          <w:marRight w:val="0"/>
          <w:marTop w:val="0"/>
          <w:marBottom w:val="300"/>
          <w:divBdr>
            <w:top w:val="none" w:sz="0" w:space="0" w:color="auto"/>
            <w:left w:val="none" w:sz="0" w:space="0" w:color="auto"/>
            <w:bottom w:val="none" w:sz="0" w:space="0" w:color="auto"/>
            <w:right w:val="none" w:sz="0" w:space="0" w:color="auto"/>
          </w:divBdr>
        </w:div>
        <w:div w:id="558059132">
          <w:marLeft w:val="0"/>
          <w:marRight w:val="0"/>
          <w:marTop w:val="0"/>
          <w:marBottom w:val="300"/>
          <w:divBdr>
            <w:top w:val="none" w:sz="0" w:space="0" w:color="auto"/>
            <w:left w:val="none" w:sz="0" w:space="0" w:color="auto"/>
            <w:bottom w:val="none" w:sz="0" w:space="0" w:color="auto"/>
            <w:right w:val="none" w:sz="0" w:space="0" w:color="auto"/>
          </w:divBdr>
        </w:div>
        <w:div w:id="2029065585">
          <w:marLeft w:val="0"/>
          <w:marRight w:val="0"/>
          <w:marTop w:val="0"/>
          <w:marBottom w:val="300"/>
          <w:divBdr>
            <w:top w:val="none" w:sz="0" w:space="0" w:color="auto"/>
            <w:left w:val="none" w:sz="0" w:space="0" w:color="auto"/>
            <w:bottom w:val="none" w:sz="0" w:space="0" w:color="auto"/>
            <w:right w:val="none" w:sz="0" w:space="0" w:color="auto"/>
          </w:divBdr>
        </w:div>
        <w:div w:id="348530889">
          <w:marLeft w:val="0"/>
          <w:marRight w:val="0"/>
          <w:marTop w:val="0"/>
          <w:marBottom w:val="300"/>
          <w:divBdr>
            <w:top w:val="none" w:sz="0" w:space="0" w:color="auto"/>
            <w:left w:val="none" w:sz="0" w:space="0" w:color="auto"/>
            <w:bottom w:val="none" w:sz="0" w:space="0" w:color="auto"/>
            <w:right w:val="none" w:sz="0" w:space="0" w:color="auto"/>
          </w:divBdr>
        </w:div>
        <w:div w:id="826020352">
          <w:marLeft w:val="0"/>
          <w:marRight w:val="0"/>
          <w:marTop w:val="0"/>
          <w:marBottom w:val="300"/>
          <w:divBdr>
            <w:top w:val="none" w:sz="0" w:space="0" w:color="auto"/>
            <w:left w:val="none" w:sz="0" w:space="0" w:color="auto"/>
            <w:bottom w:val="none" w:sz="0" w:space="0" w:color="auto"/>
            <w:right w:val="none" w:sz="0" w:space="0" w:color="auto"/>
          </w:divBdr>
        </w:div>
        <w:div w:id="567690478">
          <w:marLeft w:val="0"/>
          <w:marRight w:val="0"/>
          <w:marTop w:val="0"/>
          <w:marBottom w:val="300"/>
          <w:divBdr>
            <w:top w:val="none" w:sz="0" w:space="0" w:color="auto"/>
            <w:left w:val="none" w:sz="0" w:space="0" w:color="auto"/>
            <w:bottom w:val="none" w:sz="0" w:space="0" w:color="auto"/>
            <w:right w:val="none" w:sz="0" w:space="0" w:color="auto"/>
          </w:divBdr>
        </w:div>
        <w:div w:id="1965303137">
          <w:marLeft w:val="0"/>
          <w:marRight w:val="0"/>
          <w:marTop w:val="0"/>
          <w:marBottom w:val="300"/>
          <w:divBdr>
            <w:top w:val="none" w:sz="0" w:space="0" w:color="auto"/>
            <w:left w:val="none" w:sz="0" w:space="0" w:color="auto"/>
            <w:bottom w:val="none" w:sz="0" w:space="0" w:color="auto"/>
            <w:right w:val="none" w:sz="0" w:space="0" w:color="auto"/>
          </w:divBdr>
        </w:div>
        <w:div w:id="434863168">
          <w:marLeft w:val="0"/>
          <w:marRight w:val="0"/>
          <w:marTop w:val="0"/>
          <w:marBottom w:val="300"/>
          <w:divBdr>
            <w:top w:val="none" w:sz="0" w:space="0" w:color="auto"/>
            <w:left w:val="none" w:sz="0" w:space="0" w:color="auto"/>
            <w:bottom w:val="none" w:sz="0" w:space="0" w:color="auto"/>
            <w:right w:val="none" w:sz="0" w:space="0" w:color="auto"/>
          </w:divBdr>
        </w:div>
      </w:divsChild>
    </w:div>
    <w:div w:id="1928536509">
      <w:bodyDiv w:val="1"/>
      <w:marLeft w:val="0"/>
      <w:marRight w:val="0"/>
      <w:marTop w:val="0"/>
      <w:marBottom w:val="0"/>
      <w:divBdr>
        <w:top w:val="none" w:sz="0" w:space="0" w:color="auto"/>
        <w:left w:val="none" w:sz="0" w:space="0" w:color="auto"/>
        <w:bottom w:val="none" w:sz="0" w:space="0" w:color="auto"/>
        <w:right w:val="none" w:sz="0" w:space="0" w:color="auto"/>
      </w:divBdr>
      <w:divsChild>
        <w:div w:id="955216650">
          <w:marLeft w:val="0"/>
          <w:marRight w:val="0"/>
          <w:marTop w:val="0"/>
          <w:marBottom w:val="300"/>
          <w:divBdr>
            <w:top w:val="none" w:sz="0" w:space="0" w:color="auto"/>
            <w:left w:val="none" w:sz="0" w:space="0" w:color="auto"/>
            <w:bottom w:val="none" w:sz="0" w:space="0" w:color="auto"/>
            <w:right w:val="none" w:sz="0" w:space="0" w:color="auto"/>
          </w:divBdr>
        </w:div>
        <w:div w:id="1597011983">
          <w:marLeft w:val="0"/>
          <w:marRight w:val="0"/>
          <w:marTop w:val="0"/>
          <w:marBottom w:val="300"/>
          <w:divBdr>
            <w:top w:val="none" w:sz="0" w:space="0" w:color="auto"/>
            <w:left w:val="none" w:sz="0" w:space="0" w:color="auto"/>
            <w:bottom w:val="none" w:sz="0" w:space="0" w:color="auto"/>
            <w:right w:val="none" w:sz="0" w:space="0" w:color="auto"/>
          </w:divBdr>
        </w:div>
        <w:div w:id="2129543147">
          <w:marLeft w:val="0"/>
          <w:marRight w:val="0"/>
          <w:marTop w:val="0"/>
          <w:marBottom w:val="300"/>
          <w:divBdr>
            <w:top w:val="none" w:sz="0" w:space="0" w:color="auto"/>
            <w:left w:val="none" w:sz="0" w:space="0" w:color="auto"/>
            <w:bottom w:val="none" w:sz="0" w:space="0" w:color="auto"/>
            <w:right w:val="none" w:sz="0" w:space="0" w:color="auto"/>
          </w:divBdr>
        </w:div>
        <w:div w:id="1065838420">
          <w:marLeft w:val="0"/>
          <w:marRight w:val="0"/>
          <w:marTop w:val="0"/>
          <w:marBottom w:val="300"/>
          <w:divBdr>
            <w:top w:val="none" w:sz="0" w:space="0" w:color="auto"/>
            <w:left w:val="none" w:sz="0" w:space="0" w:color="auto"/>
            <w:bottom w:val="none" w:sz="0" w:space="0" w:color="auto"/>
            <w:right w:val="none" w:sz="0" w:space="0" w:color="auto"/>
          </w:divBdr>
        </w:div>
        <w:div w:id="403844668">
          <w:marLeft w:val="0"/>
          <w:marRight w:val="0"/>
          <w:marTop w:val="0"/>
          <w:marBottom w:val="300"/>
          <w:divBdr>
            <w:top w:val="none" w:sz="0" w:space="0" w:color="auto"/>
            <w:left w:val="none" w:sz="0" w:space="0" w:color="auto"/>
            <w:bottom w:val="none" w:sz="0" w:space="0" w:color="auto"/>
            <w:right w:val="none" w:sz="0" w:space="0" w:color="auto"/>
          </w:divBdr>
        </w:div>
        <w:div w:id="1100684453">
          <w:marLeft w:val="0"/>
          <w:marRight w:val="0"/>
          <w:marTop w:val="0"/>
          <w:marBottom w:val="300"/>
          <w:divBdr>
            <w:top w:val="none" w:sz="0" w:space="0" w:color="auto"/>
            <w:left w:val="none" w:sz="0" w:space="0" w:color="auto"/>
            <w:bottom w:val="none" w:sz="0" w:space="0" w:color="auto"/>
            <w:right w:val="none" w:sz="0" w:space="0" w:color="auto"/>
          </w:divBdr>
        </w:div>
        <w:div w:id="20575843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BCBF-70D9-4054-B986-6C8CC116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879</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EE8758</cp:lastModifiedBy>
  <cp:revision>21</cp:revision>
  <cp:lastPrinted>2012-01-11T15:32:00Z</cp:lastPrinted>
  <dcterms:created xsi:type="dcterms:W3CDTF">2015-03-23T10:52:00Z</dcterms:created>
  <dcterms:modified xsi:type="dcterms:W3CDTF">2022-01-03T11:57:00Z</dcterms:modified>
</cp:coreProperties>
</file>